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577" w:rsidRDefault="00E37F61" w:rsidP="0023547D">
      <w:pPr>
        <w:pStyle w:val="Ttulo1"/>
        <w:spacing w:before="0"/>
      </w:pPr>
      <w:r>
        <w:t>REQUERIMENTO DE INFORMAÇÕES N</w:t>
      </w:r>
      <w:r>
        <w:rPr>
          <w:u w:val="single"/>
          <w:vertAlign w:val="superscript"/>
        </w:rPr>
        <w:t>o</w:t>
      </w:r>
      <w:r>
        <w:t xml:space="preserve">    </w:t>
      </w:r>
      <w:proofErr w:type="gramStart"/>
      <w:r>
        <w:t xml:space="preserve">  </w:t>
      </w:r>
      <w:r w:rsidR="007B3E2E">
        <w:t>,</w:t>
      </w:r>
      <w:proofErr w:type="gramEnd"/>
      <w:r w:rsidR="007B3E2E">
        <w:t xml:space="preserve"> DE 201</w:t>
      </w:r>
      <w:r w:rsidR="008C25CD">
        <w:t>6</w:t>
      </w:r>
    </w:p>
    <w:p w:rsidR="005F6577" w:rsidRDefault="00E37F61">
      <w:pPr>
        <w:widowControl w:val="0"/>
        <w:spacing w:line="360" w:lineRule="exact"/>
        <w:jc w:val="center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b/>
          <w:snapToGrid w:val="0"/>
          <w:color w:val="000000"/>
          <w:sz w:val="24"/>
        </w:rPr>
        <w:t>(D</w:t>
      </w:r>
      <w:r w:rsidR="006A1136">
        <w:rPr>
          <w:rFonts w:ascii="Arial" w:hAnsi="Arial"/>
          <w:b/>
          <w:snapToGrid w:val="0"/>
          <w:color w:val="000000"/>
          <w:sz w:val="24"/>
        </w:rPr>
        <w:t>o</w:t>
      </w:r>
      <w:r>
        <w:rPr>
          <w:rFonts w:ascii="Arial" w:hAnsi="Arial"/>
          <w:b/>
          <w:snapToGrid w:val="0"/>
          <w:color w:val="000000"/>
          <w:sz w:val="24"/>
        </w:rPr>
        <w:t xml:space="preserve"> Sr. </w:t>
      </w:r>
      <w:r w:rsidR="003F4919">
        <w:rPr>
          <w:rFonts w:ascii="Arial" w:hAnsi="Arial"/>
          <w:b/>
          <w:snapToGrid w:val="0"/>
          <w:color w:val="000000"/>
          <w:sz w:val="24"/>
        </w:rPr>
        <w:t>Alceu Moreira</w:t>
      </w:r>
      <w:r>
        <w:rPr>
          <w:rFonts w:ascii="Arial" w:hAnsi="Arial"/>
          <w:b/>
          <w:snapToGrid w:val="0"/>
          <w:color w:val="000000"/>
          <w:sz w:val="24"/>
        </w:rPr>
        <w:t>)</w:t>
      </w:r>
    </w:p>
    <w:p w:rsidR="00833369" w:rsidRDefault="00833369" w:rsidP="00833369">
      <w:pPr>
        <w:pStyle w:val="Ementa"/>
        <w:spacing w:before="0" w:after="0" w:line="280" w:lineRule="exact"/>
        <w:ind w:firstLine="0"/>
      </w:pPr>
    </w:p>
    <w:p w:rsidR="00833369" w:rsidRDefault="00833369" w:rsidP="00833369">
      <w:pPr>
        <w:pStyle w:val="Ementa"/>
        <w:spacing w:before="0" w:after="0" w:line="280" w:lineRule="exact"/>
        <w:ind w:firstLine="0"/>
      </w:pPr>
    </w:p>
    <w:p w:rsidR="00833369" w:rsidRDefault="00833369" w:rsidP="00833369">
      <w:pPr>
        <w:pStyle w:val="Ementa"/>
        <w:spacing w:before="0" w:after="0" w:line="280" w:lineRule="exact"/>
        <w:ind w:firstLine="0"/>
      </w:pPr>
    </w:p>
    <w:p w:rsidR="00833369" w:rsidRDefault="00833369" w:rsidP="00833369">
      <w:pPr>
        <w:pStyle w:val="Ementa"/>
        <w:spacing w:before="0" w:after="0" w:line="280" w:lineRule="exact"/>
        <w:ind w:firstLine="0"/>
      </w:pPr>
      <w:r>
        <w:t>Requer solicitação de informações ao Srs. Ministro de Estado da Justiça e Cidadania, Ministro de Estado do Planejamento, Desenvolvimento e Gestão, Ministro de Estado da Fazenda.</w:t>
      </w:r>
      <w:bookmarkStart w:id="0" w:name="_GoBack"/>
      <w:bookmarkEnd w:id="0"/>
    </w:p>
    <w:p w:rsidR="00833369" w:rsidRDefault="00833369">
      <w:pPr>
        <w:pStyle w:val="Corpo"/>
        <w:spacing w:after="480"/>
      </w:pPr>
    </w:p>
    <w:p w:rsidR="005F6577" w:rsidRDefault="00E37F61">
      <w:pPr>
        <w:pStyle w:val="Corpo"/>
        <w:spacing w:after="480"/>
      </w:pPr>
      <w:r>
        <w:t>Senhor Presidente:</w:t>
      </w:r>
    </w:p>
    <w:p w:rsidR="006A1136" w:rsidRDefault="00E37F61">
      <w:pPr>
        <w:pStyle w:val="CorpoPadro"/>
      </w:pPr>
      <w:r>
        <w:t xml:space="preserve">Requeiro a V. </w:t>
      </w:r>
      <w:proofErr w:type="gramStart"/>
      <w:r>
        <w:t>Exa.,</w:t>
      </w:r>
      <w:proofErr w:type="gramEnd"/>
      <w:r>
        <w:t xml:space="preserve"> com base no art. 50 da Constituição Federal, e nos arts. 115</w:t>
      </w:r>
      <w:r w:rsidR="006A1136">
        <w:t>, I,</w:t>
      </w:r>
      <w:r>
        <w:t xml:space="preserve"> e 116 do Regimento Interno que, ouvida a Mesa, sejam solicitadas informações ao </w:t>
      </w:r>
      <w:r w:rsidR="00833369" w:rsidRPr="00833369">
        <w:t>Srs. Ministro de Estado da Justiça e Cidadania, Ministro de Estado do Planejamento, Desenvolvimento e Gestão</w:t>
      </w:r>
      <w:r w:rsidR="00833369">
        <w:t>, Ministro de Estado da Fazenda</w:t>
      </w:r>
      <w:r w:rsidR="003F4919">
        <w:t>, sobre as determinações legais que se seguem.</w:t>
      </w:r>
    </w:p>
    <w:p w:rsidR="005F6577" w:rsidRDefault="00E37F61">
      <w:pPr>
        <w:pStyle w:val="Ttulo3"/>
        <w:keepNext w:val="0"/>
      </w:pPr>
      <w:r>
        <w:t>JUSTIFICAÇÃO</w:t>
      </w:r>
    </w:p>
    <w:p w:rsidR="003F4919" w:rsidRDefault="003F4919">
      <w:pPr>
        <w:pStyle w:val="CorpoPadro"/>
      </w:pPr>
      <w:r>
        <w:t>O art. 91, inciso II, alíneas “a” e “b”, do Decreto-lei nº 2.848, de 7 de dezembro de 1940, o Código Penal, estabelece como efeito genérico da condenação a perda em favor da União, ressalvado o direito do lesado ou de terceiro de boa-fé, dos instrumentos do crime, e do seu produto ou valor que constituía proveito auferido pelo agente com a prática do fato criminoso.</w:t>
      </w:r>
    </w:p>
    <w:p w:rsidR="003F4919" w:rsidRDefault="003F4919">
      <w:pPr>
        <w:pStyle w:val="CorpoPadro"/>
      </w:pPr>
      <w:r>
        <w:t xml:space="preserve">Por sua vez, </w:t>
      </w:r>
      <w:r w:rsidR="009809EC">
        <w:t>a</w:t>
      </w:r>
      <w:r>
        <w:t xml:space="preserve"> Lei nº 9.613, de 3 de março de 1998, a Lei de Lavagem de Dinheiro, determina que o produto ou proveito dos crimes de ocultação ou lavagem de bens, direitos e valores, após a decretação da perda, podem ser destinados à União, caso o processo seja de competência da Justiça Federal</w:t>
      </w:r>
      <w:r w:rsidR="009809EC">
        <w:t>.</w:t>
      </w:r>
    </w:p>
    <w:p w:rsidR="009809EC" w:rsidRDefault="009809EC">
      <w:pPr>
        <w:pStyle w:val="CorpoPadro"/>
      </w:pPr>
      <w:r>
        <w:lastRenderedPageBreak/>
        <w:t>De acordo com seu art. 4º-A, § 5º, após o trânsito da sentença proferida na ação penal, a autoridade judicial ordenará seja o valor do depósito, em caso de sentença condenatória, nos processos de competência da Justiça Federal, incorporado definitivamente ao patrimônio da União.</w:t>
      </w:r>
    </w:p>
    <w:p w:rsidR="009809EC" w:rsidRDefault="009809EC">
      <w:pPr>
        <w:pStyle w:val="CorpoPadro"/>
      </w:pPr>
      <w:r>
        <w:t>Idêntica destinação é dada ao perdimento do produto da alienação antecipada dos bens disciplinados na Lei de Lavagem de Dinheiro. A teor de seu art. 4º-A, § 10, sobrevindo o trânsito em julgado de sentença penal condenatória, o juiz decretará em favor da União, a perda dos valores depositados na conta remunerada e da fiança (inciso I), dos bens não alienados antecipadamente e daqueles aos quais não foi dada destinação prévia (inciso II) e os bens não reclamados no prazo de 90 (noventa) dias após o trânsito em julgado da senten</w:t>
      </w:r>
      <w:r w:rsidR="008C25CD">
        <w:t>ça condenatória, ressalvado o direito</w:t>
      </w:r>
      <w:r>
        <w:t xml:space="preserve"> d</w:t>
      </w:r>
      <w:r w:rsidR="008C25CD">
        <w:t>o</w:t>
      </w:r>
      <w:r>
        <w:t xml:space="preserve"> l</w:t>
      </w:r>
      <w:r w:rsidR="008C25CD">
        <w:t>e</w:t>
      </w:r>
      <w:r>
        <w:t>sado ou terceiro de boa fé.</w:t>
      </w:r>
    </w:p>
    <w:p w:rsidR="009809EC" w:rsidRDefault="009809EC">
      <w:pPr>
        <w:pStyle w:val="CorpoPadro"/>
      </w:pPr>
      <w:r>
        <w:t xml:space="preserve">O art. 7º, inciso I, da Lei de Lavagem de Dinheiro, determina ser efeito da condenação a perda em favor da União, de todos os bens, direitos e valores relacionados, direta ou indiretamente, </w:t>
      </w:r>
      <w:r w:rsidR="0041083B">
        <w:t>à prática dos crimes previstos nessa Lei, inclusive aqueles utilizados para prestar fiança, ressalvado o direito do lesado ou de terceiro de boa fé.</w:t>
      </w:r>
    </w:p>
    <w:p w:rsidR="0041083B" w:rsidRDefault="008C25CD">
      <w:pPr>
        <w:pStyle w:val="CorpoPadro"/>
      </w:pPr>
      <w:r>
        <w:t>Ademais</w:t>
      </w:r>
      <w:r w:rsidR="0041083B">
        <w:t>, o art. 8º dessa Lei, estabelece que a União também é destinatária do perdimento de bens, direitos ou valores dos crimes de lavagem de dinheiro praticados no estrangeiro.</w:t>
      </w:r>
    </w:p>
    <w:p w:rsidR="0041083B" w:rsidRDefault="008C25CD">
      <w:pPr>
        <w:pStyle w:val="CorpoPadro"/>
      </w:pPr>
      <w:r>
        <w:t>Por fim</w:t>
      </w:r>
      <w:r w:rsidR="0041083B">
        <w:t>, o art. 7º, § 1º, da Lei determina que a União, no âmbito de suas competências, regulamentará a forma de destinação dos bens, direitos e valores cuja perda houver sido declarada, assegurada, quanto aos processos de competência da Justiça Federal, a sua utilização pelos órgãos federais encarregados da prevenção, do combate, da ação penal e do julgamento dos crimes de lavagem de dinheiro.</w:t>
      </w:r>
    </w:p>
    <w:p w:rsidR="0041083B" w:rsidRDefault="00D7758C">
      <w:pPr>
        <w:pStyle w:val="CorpoPadro"/>
      </w:pPr>
      <w:r>
        <w:t>Assim sendo, c</w:t>
      </w:r>
      <w:r w:rsidR="00C70B24">
        <w:t xml:space="preserve">onsiderando a prerrogativa constitucional insculpida no art. 50 da </w:t>
      </w:r>
      <w:r w:rsidR="0041083B">
        <w:t>Constituição Federa</w:t>
      </w:r>
      <w:r w:rsidR="008C25CD">
        <w:t>l</w:t>
      </w:r>
      <w:r w:rsidR="00C70B24">
        <w:t>, requer</w:t>
      </w:r>
      <w:r w:rsidR="007B3E2E">
        <w:t xml:space="preserve"> sejam solicitadas ao </w:t>
      </w:r>
      <w:r w:rsidR="00C70B24">
        <w:t>Sr</w:t>
      </w:r>
      <w:r w:rsidR="0041083B">
        <w:t>s</w:t>
      </w:r>
      <w:r w:rsidR="00C70B24">
        <w:t>. Ministro</w:t>
      </w:r>
      <w:r w:rsidR="0041083B">
        <w:t>s</w:t>
      </w:r>
      <w:r w:rsidR="00C70B24">
        <w:t xml:space="preserve"> de Estado da Justiça</w:t>
      </w:r>
      <w:r w:rsidR="0041083B">
        <w:t>, da Fazenda e do Planejamento, Orçamento e Gestão, as seguintes informações:</w:t>
      </w:r>
    </w:p>
    <w:p w:rsidR="00BA7825" w:rsidRDefault="0041083B">
      <w:pPr>
        <w:pStyle w:val="CorpoPadro"/>
      </w:pPr>
      <w:r>
        <w:lastRenderedPageBreak/>
        <w:t xml:space="preserve">a) </w:t>
      </w:r>
      <w:r w:rsidR="00BA7825">
        <w:t>quais foram os valores vertidos aos cofres da União, nos anos de 2013, 2014 e 2015, referentes ao perdimento de</w:t>
      </w:r>
      <w:r w:rsidR="008C25CD">
        <w:t xml:space="preserve"> bens que constituíram</w:t>
      </w:r>
      <w:r w:rsidR="00BA7825">
        <w:t xml:space="preserve"> instrumento, produto e proveito dos crimes contra a Administração Pública (art. 91, inciso II, alíneas “a” e “b”, do Código Penal), e especialmente </w:t>
      </w:r>
      <w:r w:rsidR="008C25CD">
        <w:t>d</w:t>
      </w:r>
      <w:r w:rsidR="00BA7825">
        <w:t>os crimes de corrupção passiva e ativa (</w:t>
      </w:r>
      <w:proofErr w:type="spellStart"/>
      <w:r w:rsidR="00BA7825">
        <w:t>arts</w:t>
      </w:r>
      <w:proofErr w:type="spellEnd"/>
      <w:r w:rsidR="00BA7825">
        <w:t>. 317 e 333 do Código Penal);</w:t>
      </w:r>
    </w:p>
    <w:p w:rsidR="00BA7825" w:rsidRDefault="00BA7825">
      <w:pPr>
        <w:pStyle w:val="CorpoPadro"/>
      </w:pPr>
      <w:r>
        <w:t>b) quais foram os valores vertidos aos cofres da União, nos anos de 2013, 2014 e 2015, referentes ao perdimento de bens que constitu</w:t>
      </w:r>
      <w:r w:rsidR="008C25CD">
        <w:t>íram</w:t>
      </w:r>
      <w:r>
        <w:t xml:space="preserve"> instrumento, produto e proveito dos crimes previstos no art. 1º da Lei nº 9.613, de 3 de março de 1998 (art. 7º, inciso I</w:t>
      </w:r>
      <w:r w:rsidR="008C25CD">
        <w:t xml:space="preserve"> dessa Lei</w:t>
      </w:r>
      <w:r>
        <w:t>);</w:t>
      </w:r>
    </w:p>
    <w:p w:rsidR="00BA7825" w:rsidRDefault="00BA7825" w:rsidP="00BA7825">
      <w:pPr>
        <w:pStyle w:val="CorpoPadro"/>
      </w:pPr>
      <w:r>
        <w:t>c) quais foram os valores vertidos aos cofres da União nos anos de 2013, 2014 e 2015, referentes ao perdimento de bens que constitu</w:t>
      </w:r>
      <w:r w:rsidR="008C25CD">
        <w:t>ír</w:t>
      </w:r>
      <w:r>
        <w:t>am instrumento, produto e proveito dos crimes previstos no art. 1º da Lei nº 9.613, de 3 de março de 1998, que tenham sido praticados no exterior (art. 8º</w:t>
      </w:r>
      <w:r w:rsidR="008C25CD">
        <w:t xml:space="preserve"> dessa Lei</w:t>
      </w:r>
      <w:r>
        <w:t>);</w:t>
      </w:r>
    </w:p>
    <w:p w:rsidR="00BA7825" w:rsidRDefault="00BA7825" w:rsidP="00BA7825">
      <w:pPr>
        <w:pStyle w:val="CorpoPadro"/>
      </w:pPr>
      <w:r>
        <w:t>d) quais foram as medidas tomadas pela União, no âmbito de suas competências,</w:t>
      </w:r>
      <w:r w:rsidR="008C25CD">
        <w:t xml:space="preserve"> desde a edição da Lei nº 9.613, de 3 de março de 1998,</w:t>
      </w:r>
      <w:r>
        <w:t xml:space="preserve"> para regulamentar a forma de destinação dos bens, direitos e valores cuja perda houver sido declarada com lastro nessa Lei;</w:t>
      </w:r>
    </w:p>
    <w:p w:rsidR="00BA7825" w:rsidRDefault="00BA7825" w:rsidP="00BA7825">
      <w:pPr>
        <w:pStyle w:val="CorpoPadro"/>
      </w:pPr>
      <w:r>
        <w:t xml:space="preserve">e) quais foram, nos anos de 2013, 2014 e 2015, </w:t>
      </w:r>
      <w:r w:rsidR="0005253F">
        <w:t xml:space="preserve">os bens, direitos ou valores cuja perda foi decretada com lastro na Lei nº 9.613, de 3 de março de 1998, </w:t>
      </w:r>
      <w:r w:rsidR="008C25CD">
        <w:t xml:space="preserve">que foram </w:t>
      </w:r>
      <w:r w:rsidR="0005253F">
        <w:t>destinados a utilização p</w:t>
      </w:r>
      <w:r w:rsidR="008C25CD">
        <w:t>or</w:t>
      </w:r>
      <w:r w:rsidR="0005253F">
        <w:t xml:space="preserve"> </w:t>
      </w:r>
      <w:r>
        <w:t>órgãos federais</w:t>
      </w:r>
      <w:r w:rsidR="0005253F">
        <w:t xml:space="preserve"> encarregados da prevenção, do combate, da ação penal e do julgamento dos crimes previstos nessa Lei, com especificações sobre: a marca, modelo, tipo e valor do bem</w:t>
      </w:r>
      <w:r w:rsidR="008C25CD">
        <w:t xml:space="preserve"> destinado</w:t>
      </w:r>
      <w:r w:rsidR="0005253F">
        <w:t>; para qual órgão federal o bem foi destinado, a data em que foi recebido, se o bem ainda se encontra sendo utilizado e o tempo de uso; ou o motivo pelo qual não se não encontra mais em utilização.</w:t>
      </w:r>
    </w:p>
    <w:p w:rsidR="005F6577" w:rsidRDefault="00E37F61">
      <w:pPr>
        <w:pStyle w:val="data"/>
      </w:pPr>
      <w:r>
        <w:t xml:space="preserve">Sala das Sessões, </w:t>
      </w:r>
      <w:r w:rsidR="0023547D">
        <w:t xml:space="preserve">em </w:t>
      </w:r>
      <w:r w:rsidR="00BA3C7E">
        <w:t xml:space="preserve">04 julho </w:t>
      </w:r>
      <w:r w:rsidR="0023547D">
        <w:t>de 2016.</w:t>
      </w:r>
    </w:p>
    <w:p w:rsidR="00C7360B" w:rsidRDefault="00C7360B" w:rsidP="005C18C5">
      <w:pPr>
        <w:widowControl w:val="0"/>
        <w:spacing w:line="360" w:lineRule="exact"/>
        <w:ind w:left="1440"/>
        <w:jc w:val="center"/>
        <w:rPr>
          <w:rFonts w:ascii="Arial" w:hAnsi="Arial"/>
          <w:snapToGrid w:val="0"/>
          <w:color w:val="000000"/>
          <w:sz w:val="16"/>
        </w:rPr>
      </w:pPr>
      <w:r>
        <w:rPr>
          <w:rFonts w:ascii="Arial" w:hAnsi="Arial"/>
          <w:snapToGrid w:val="0"/>
          <w:color w:val="000000"/>
          <w:sz w:val="24"/>
        </w:rPr>
        <w:t>Deputad</w:t>
      </w:r>
      <w:r w:rsidR="00C70B24">
        <w:rPr>
          <w:rFonts w:ascii="Arial" w:hAnsi="Arial"/>
          <w:snapToGrid w:val="0"/>
          <w:color w:val="000000"/>
          <w:sz w:val="24"/>
        </w:rPr>
        <w:t xml:space="preserve">o </w:t>
      </w:r>
      <w:r w:rsidR="0005253F" w:rsidRPr="0023547D">
        <w:rPr>
          <w:rFonts w:ascii="Arial" w:hAnsi="Arial"/>
          <w:b/>
          <w:snapToGrid w:val="0"/>
          <w:color w:val="000000"/>
          <w:sz w:val="24"/>
        </w:rPr>
        <w:t>ALCEU MOREIRA</w:t>
      </w:r>
    </w:p>
    <w:sectPr w:rsidR="00C7360B" w:rsidSect="0023547D">
      <w:headerReference w:type="default" r:id="rId8"/>
      <w:headerReference w:type="first" r:id="rId9"/>
      <w:pgSz w:w="11908" w:h="16833" w:code="9"/>
      <w:pgMar w:top="2096" w:right="1985" w:bottom="1134" w:left="1701" w:header="794" w:footer="794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61F" w:rsidRDefault="00A0261F">
      <w:r>
        <w:separator/>
      </w:r>
    </w:p>
  </w:endnote>
  <w:endnote w:type="continuationSeparator" w:id="0">
    <w:p w:rsidR="00A0261F" w:rsidRDefault="00A02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61F" w:rsidRDefault="00A0261F">
      <w:r>
        <w:separator/>
      </w:r>
    </w:p>
  </w:footnote>
  <w:footnote w:type="continuationSeparator" w:id="0">
    <w:p w:rsidR="00A0261F" w:rsidRDefault="00A026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701"/>
      <w:gridCol w:w="7655"/>
    </w:tblGrid>
    <w:tr w:rsidR="0023547D" w:rsidRPr="00B628D7" w:rsidTr="00342066">
      <w:tc>
        <w:tcPr>
          <w:tcW w:w="1701" w:type="dxa"/>
        </w:tcPr>
        <w:p w:rsidR="0023547D" w:rsidRDefault="0023547D" w:rsidP="0023547D">
          <w:pPr>
            <w:rPr>
              <w:rFonts w:ascii="Arial" w:hAnsi="Arial"/>
              <w:sz w:val="16"/>
            </w:rPr>
          </w:pPr>
          <w:r w:rsidRPr="00AD0B9C">
            <w:rPr>
              <w:position w:val="-53"/>
            </w:rPr>
            <w:object w:dxaOrig="2880" w:dyaOrig="28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6pt;height:63pt" o:ole="" filled="t">
                <v:fill color2="black" type="frame"/>
                <v:imagedata r:id="rId1" o:title=""/>
              </v:shape>
              <o:OLEObject Type="Embed" ProgID="Word.Picture.8" ShapeID="_x0000_i1025" DrawAspect="Content" ObjectID="_1529144564" r:id="rId2"/>
            </w:object>
          </w:r>
        </w:p>
      </w:tc>
      <w:tc>
        <w:tcPr>
          <w:tcW w:w="7655" w:type="dxa"/>
        </w:tcPr>
        <w:p w:rsidR="0023547D" w:rsidRPr="00B628D7" w:rsidRDefault="0023547D" w:rsidP="0023547D">
          <w:pPr>
            <w:pStyle w:val="Ttulo1"/>
            <w:spacing w:before="0"/>
            <w:jc w:val="left"/>
            <w:rPr>
              <w:rFonts w:cs="Arial"/>
              <w:szCs w:val="24"/>
            </w:rPr>
          </w:pPr>
          <w:r w:rsidRPr="00B628D7">
            <w:rPr>
              <w:rFonts w:cs="Arial"/>
              <w:szCs w:val="24"/>
            </w:rPr>
            <w:t>CÂMARA DOS DEPUTADOS</w:t>
          </w:r>
        </w:p>
        <w:p w:rsidR="0023547D" w:rsidRPr="00B628D7" w:rsidRDefault="0023547D" w:rsidP="0023547D">
          <w:pPr>
            <w:rPr>
              <w:rFonts w:cs="Arial"/>
              <w:sz w:val="24"/>
              <w:szCs w:val="24"/>
            </w:rPr>
          </w:pPr>
        </w:p>
      </w:tc>
    </w:tr>
  </w:tbl>
  <w:p w:rsidR="005F6577" w:rsidRDefault="00E37F61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right"/>
      <w:rPr>
        <w:rFonts w:ascii="Courier New" w:hAnsi="Courier New"/>
        <w:snapToGrid w:val="0"/>
        <w:color w:val="000000"/>
        <w:sz w:val="22"/>
      </w:rPr>
    </w:pPr>
    <w:r>
      <w:rPr>
        <w:rFonts w:ascii="Courier New" w:hAnsi="Courier New"/>
        <w:snapToGrid w:val="0"/>
        <w:color w:val="000000"/>
        <w:sz w:val="22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701"/>
      <w:gridCol w:w="7655"/>
    </w:tblGrid>
    <w:tr w:rsidR="0023547D" w:rsidRPr="00B628D7" w:rsidTr="00342066">
      <w:tc>
        <w:tcPr>
          <w:tcW w:w="1701" w:type="dxa"/>
        </w:tcPr>
        <w:p w:rsidR="0023547D" w:rsidRDefault="0023547D" w:rsidP="0023547D">
          <w:pPr>
            <w:rPr>
              <w:rFonts w:ascii="Arial" w:hAnsi="Arial"/>
              <w:sz w:val="16"/>
            </w:rPr>
          </w:pPr>
          <w:r w:rsidRPr="00AD0B9C">
            <w:rPr>
              <w:position w:val="-53"/>
            </w:rPr>
            <w:object w:dxaOrig="2880" w:dyaOrig="28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66pt;height:63pt" o:ole="" filled="t">
                <v:fill color2="black" type="frame"/>
                <v:imagedata r:id="rId1" o:title=""/>
              </v:shape>
              <o:OLEObject Type="Embed" ProgID="Word.Picture.8" ShapeID="_x0000_i1026" DrawAspect="Content" ObjectID="_1529144565" r:id="rId2"/>
            </w:object>
          </w:r>
        </w:p>
      </w:tc>
      <w:tc>
        <w:tcPr>
          <w:tcW w:w="7655" w:type="dxa"/>
        </w:tcPr>
        <w:p w:rsidR="0023547D" w:rsidRPr="00B628D7" w:rsidRDefault="0023547D" w:rsidP="0023547D">
          <w:pPr>
            <w:pStyle w:val="Ttulo1"/>
            <w:spacing w:before="0"/>
            <w:jc w:val="left"/>
            <w:rPr>
              <w:rFonts w:cs="Arial"/>
              <w:szCs w:val="24"/>
            </w:rPr>
          </w:pPr>
          <w:r w:rsidRPr="00B628D7">
            <w:rPr>
              <w:rFonts w:cs="Arial"/>
              <w:szCs w:val="24"/>
            </w:rPr>
            <w:t>CÂMARA DOS DEPUTADOS</w:t>
          </w:r>
        </w:p>
        <w:p w:rsidR="0023547D" w:rsidRPr="00B628D7" w:rsidRDefault="0023547D" w:rsidP="0023547D">
          <w:pPr>
            <w:rPr>
              <w:rFonts w:cs="Arial"/>
              <w:sz w:val="24"/>
              <w:szCs w:val="24"/>
            </w:rPr>
          </w:pPr>
        </w:p>
      </w:tc>
    </w:tr>
  </w:tbl>
  <w:p w:rsidR="0023547D" w:rsidRDefault="0023547D" w:rsidP="0023547D">
    <w:pPr>
      <w:pStyle w:val="Cabealho"/>
      <w:tabs>
        <w:tab w:val="clear" w:pos="4419"/>
        <w:tab w:val="clear" w:pos="8838"/>
        <w:tab w:val="left" w:pos="2527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A4EEEE68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60B"/>
    <w:rsid w:val="0005253F"/>
    <w:rsid w:val="000C62B2"/>
    <w:rsid w:val="000F21F0"/>
    <w:rsid w:val="00224688"/>
    <w:rsid w:val="0023547D"/>
    <w:rsid w:val="00392451"/>
    <w:rsid w:val="003F4919"/>
    <w:rsid w:val="0041083B"/>
    <w:rsid w:val="00453955"/>
    <w:rsid w:val="005030B9"/>
    <w:rsid w:val="0059268F"/>
    <w:rsid w:val="005B288B"/>
    <w:rsid w:val="005C18C5"/>
    <w:rsid w:val="005F6577"/>
    <w:rsid w:val="006A1136"/>
    <w:rsid w:val="00762F37"/>
    <w:rsid w:val="00785AE8"/>
    <w:rsid w:val="007B3E2E"/>
    <w:rsid w:val="00833369"/>
    <w:rsid w:val="008C25CD"/>
    <w:rsid w:val="008E7E95"/>
    <w:rsid w:val="009809EC"/>
    <w:rsid w:val="00A0261F"/>
    <w:rsid w:val="00A113AD"/>
    <w:rsid w:val="00A26578"/>
    <w:rsid w:val="00A54690"/>
    <w:rsid w:val="00A93A3F"/>
    <w:rsid w:val="00B40CD0"/>
    <w:rsid w:val="00BA3C7E"/>
    <w:rsid w:val="00BA7825"/>
    <w:rsid w:val="00C70B24"/>
    <w:rsid w:val="00C7360B"/>
    <w:rsid w:val="00CB5F31"/>
    <w:rsid w:val="00CE59A6"/>
    <w:rsid w:val="00D7758C"/>
    <w:rsid w:val="00E3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docId w15:val="{E89FB084-8CC2-4EF1-8890-FB2E45039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widowControl w:val="0"/>
      <w:spacing w:before="1786" w:line="480" w:lineRule="exact"/>
      <w:jc w:val="center"/>
      <w:outlineLvl w:val="0"/>
    </w:pPr>
    <w:rPr>
      <w:rFonts w:ascii="Arial" w:hAnsi="Arial"/>
      <w:b/>
      <w:caps/>
      <w:snapToGrid w:val="0"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spacing w:before="1429" w:line="480" w:lineRule="exact"/>
      <w:jc w:val="center"/>
      <w:outlineLvl w:val="1"/>
    </w:pPr>
    <w:rPr>
      <w:rFonts w:ascii="Arial" w:hAnsi="Arial"/>
      <w:b/>
      <w:caps/>
      <w:snapToGrid w:val="0"/>
      <w:sz w:val="28"/>
    </w:rPr>
  </w:style>
  <w:style w:type="paragraph" w:styleId="Ttulo3">
    <w:name w:val="heading 3"/>
    <w:basedOn w:val="Normal"/>
    <w:next w:val="Normal"/>
    <w:qFormat/>
    <w:pPr>
      <w:keepNext/>
      <w:widowControl w:val="0"/>
      <w:spacing w:before="554" w:after="754" w:line="360" w:lineRule="exact"/>
      <w:jc w:val="center"/>
      <w:outlineLvl w:val="2"/>
    </w:pPr>
    <w:rPr>
      <w:rFonts w:ascii="Arial" w:hAnsi="Arial"/>
      <w:b/>
      <w:caps/>
      <w:snapToGrid w:val="0"/>
      <w:sz w:val="28"/>
    </w:rPr>
  </w:style>
  <w:style w:type="paragraph" w:styleId="Ttulo4">
    <w:name w:val="heading 4"/>
    <w:basedOn w:val="Normal"/>
    <w:next w:val="Normal"/>
    <w:qFormat/>
    <w:pPr>
      <w:keepNext/>
      <w:widowControl w:val="0"/>
      <w:spacing w:before="554" w:after="754" w:line="360" w:lineRule="exact"/>
      <w:jc w:val="both"/>
      <w:outlineLvl w:val="3"/>
    </w:pPr>
    <w:rPr>
      <w:rFonts w:ascii="Arial" w:hAnsi="Arial"/>
      <w:b/>
      <w:caps/>
      <w:snapToGrid w:val="0"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rtigo">
    <w:name w:val="Artigo"/>
    <w:basedOn w:val="Normal"/>
    <w:pPr>
      <w:widowControl w:val="0"/>
      <w:numPr>
        <w:numId w:val="2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">
    <w:name w:val="Body Text Indent"/>
    <w:basedOn w:val="Normal"/>
    <w:semiHidden/>
    <w:pPr>
      <w:spacing w:after="120"/>
      <w:ind w:left="283"/>
    </w:pPr>
  </w:style>
  <w:style w:type="paragraph" w:customStyle="1" w:styleId="TranscrioDoutrina">
    <w:name w:val="Transcrição Doutrina"/>
    <w:basedOn w:val="Normal"/>
    <w:pPr>
      <w:widowControl w:val="0"/>
      <w:spacing w:after="100" w:line="280" w:lineRule="exact"/>
      <w:ind w:left="2302" w:firstLine="567"/>
      <w:jc w:val="both"/>
    </w:pPr>
    <w:rPr>
      <w:rFonts w:ascii="Arial" w:hAnsi="Arial"/>
      <w:i/>
      <w:snapToGrid w:val="0"/>
      <w:color w:val="000000"/>
      <w:sz w:val="24"/>
    </w:rPr>
  </w:style>
  <w:style w:type="paragraph" w:customStyle="1" w:styleId="Corpo">
    <w:name w:val="Corpo"/>
    <w:basedOn w:val="Normal"/>
    <w:next w:val="Normal"/>
    <w:pPr>
      <w:widowControl w:val="0"/>
      <w:spacing w:after="357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754" w:line="36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E59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59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quivos%20de%20programas\Microsoft%20Office\Modeloss\M&#225;scaras\Requerimento%20de%20Informa&#231;&#227;o%20com%20justifica&#231;&#227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A1125-E114-4D6D-B7D5-53F06C096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de Informação com justificação</Template>
  <TotalTime>64</TotalTime>
  <Pages>3</Pages>
  <Words>807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DE INFORMAÇÕES Nº      , DE 199</vt:lpstr>
    </vt:vector>
  </TitlesOfParts>
  <Company>Camara dos Deputados</Company>
  <LinksUpToDate>false</LinksUpToDate>
  <CharactersWithSpaces>5159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DE INFORMAÇÕES Nº      , DE 199</dc:title>
  <dc:subject>RI1 - Requerimento de Informações</dc:subject>
  <dc:creator>Maria Regina Reis</dc:creator>
  <cp:lastModifiedBy>Cleber Silveira</cp:lastModifiedBy>
  <cp:revision>8</cp:revision>
  <cp:lastPrinted>2011-12-13T22:31:00Z</cp:lastPrinted>
  <dcterms:created xsi:type="dcterms:W3CDTF">2016-04-27T17:37:00Z</dcterms:created>
  <dcterms:modified xsi:type="dcterms:W3CDTF">2016-07-04T16:36:00Z</dcterms:modified>
</cp:coreProperties>
</file>