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4DE" w:rsidRDefault="009F025D">
      <w:pPr>
        <w:pStyle w:val="TranscrioLei"/>
        <w:spacing w:before="1800" w:after="60" w:line="360" w:lineRule="exact"/>
        <w:ind w:hanging="2302"/>
        <w:jc w:val="center"/>
        <w:rPr>
          <w:b/>
          <w:noProof w:val="0"/>
          <w:sz w:val="28"/>
        </w:rPr>
      </w:pPr>
      <w:r>
        <w:rPr>
          <w:b/>
          <w:noProof w:val="0"/>
          <w:sz w:val="28"/>
        </w:rPr>
        <w:t>PROJETO DE LEI Nº</w:t>
      </w:r>
      <w:r w:rsidR="00F1443E">
        <w:rPr>
          <w:b/>
          <w:noProof w:val="0"/>
          <w:sz w:val="28"/>
        </w:rPr>
        <w:t xml:space="preserve"> 4379</w:t>
      </w:r>
      <w:r>
        <w:rPr>
          <w:b/>
          <w:noProof w:val="0"/>
          <w:sz w:val="28"/>
        </w:rPr>
        <w:t>, DE 201</w:t>
      </w:r>
      <w:r w:rsidR="00F1443E">
        <w:rPr>
          <w:b/>
          <w:noProof w:val="0"/>
          <w:sz w:val="28"/>
        </w:rPr>
        <w:t>6</w:t>
      </w:r>
    </w:p>
    <w:p w:rsidR="004D04DE" w:rsidRDefault="009F025D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 xml:space="preserve">(Do Sr. </w:t>
      </w:r>
      <w:r w:rsidR="00060B87">
        <w:rPr>
          <w:rFonts w:ascii="Arial" w:hAnsi="Arial"/>
          <w:b/>
          <w:snapToGrid w:val="0"/>
          <w:color w:val="000000"/>
          <w:sz w:val="24"/>
        </w:rPr>
        <w:t>FLAVINHO</w:t>
      </w:r>
      <w:r>
        <w:rPr>
          <w:rFonts w:ascii="Arial" w:hAnsi="Arial"/>
          <w:b/>
          <w:snapToGrid w:val="0"/>
          <w:color w:val="000000"/>
          <w:sz w:val="24"/>
        </w:rPr>
        <w:t>)</w:t>
      </w:r>
    </w:p>
    <w:p w:rsidR="004D04DE" w:rsidRDefault="00E92A28">
      <w:pPr>
        <w:pStyle w:val="Ementa"/>
        <w:spacing w:before="840" w:line="280" w:lineRule="exact"/>
      </w:pPr>
      <w:r>
        <w:t>Altera a Lei nº 8.078, de 11 de setembro de 1990, para estabelecer condições para a cobrança de tarifas de planos pós-pagos e a obrigatoriedade de reembolso de créditos não utilizados de planos pré-pagos, em caso de rescisão de contrato de prestação de serviços de telecomunicações.</w:t>
      </w:r>
      <w:r w:rsidR="009F025D">
        <w:t xml:space="preserve"> </w:t>
      </w:r>
    </w:p>
    <w:p w:rsidR="004D04DE" w:rsidRDefault="009F025D">
      <w:pPr>
        <w:pStyle w:val="Corpo"/>
        <w:spacing w:after="600"/>
      </w:pPr>
      <w:r>
        <w:t>O</w:t>
      </w:r>
      <w:r>
        <w:rPr>
          <w:b/>
        </w:rPr>
        <w:t xml:space="preserve"> </w:t>
      </w:r>
      <w:r>
        <w:t>Congresso Nacional</w:t>
      </w:r>
      <w:r>
        <w:rPr>
          <w:b/>
        </w:rPr>
        <w:t xml:space="preserve"> </w:t>
      </w:r>
      <w:r>
        <w:t>decreta:</w:t>
      </w:r>
    </w:p>
    <w:p w:rsidR="004D04DE" w:rsidRDefault="009F025D">
      <w:pPr>
        <w:pStyle w:val="CorpoPadro"/>
      </w:pPr>
      <w:r>
        <w:t>Art. 1º</w:t>
      </w:r>
      <w:r w:rsidRPr="00E92A28">
        <w:t xml:space="preserve"> </w:t>
      </w:r>
      <w:r w:rsidR="00E92A28" w:rsidRPr="00E92A28">
        <w:t xml:space="preserve">Esta Lei </w:t>
      </w:r>
      <w:r w:rsidR="00E92A28">
        <w:t>altera</w:t>
      </w:r>
      <w:r w:rsidR="00E92A28" w:rsidRPr="00E92A28">
        <w:t xml:space="preserve"> a Le</w:t>
      </w:r>
      <w:r w:rsidR="00E92A28">
        <w:t>i nº 8.078, de 11 de setembro de 1990, que d</w:t>
      </w:r>
      <w:r w:rsidR="00E92A28" w:rsidRPr="00E92A28">
        <w:t>ispõe sobre a proteção do consumidor e dá outras providências</w:t>
      </w:r>
      <w:r w:rsidR="00E92A28">
        <w:t xml:space="preserve">, para </w:t>
      </w:r>
      <w:r w:rsidR="00E92A28" w:rsidRPr="00E92A28">
        <w:t>estabelecer condições para a cobrança de tarifas de planos pós-pagos e a obrigatoriedade de reembolso de créditos não utilizados de planos pré-pagos, em caso de rescisão de contrato de prestação de serviços de telecomunicações</w:t>
      </w:r>
      <w:r w:rsidR="00E92A28">
        <w:t>.</w:t>
      </w:r>
    </w:p>
    <w:p w:rsidR="00E92A28" w:rsidRDefault="00E92A28">
      <w:pPr>
        <w:pStyle w:val="CorpoPadro"/>
      </w:pPr>
      <w:r>
        <w:t xml:space="preserve">Art. 2º. A Lei nº 8.078, de 11 de setembro de 1990, passa a vigorar acrescido do seguinte art. 50-B </w:t>
      </w:r>
      <w:proofErr w:type="gramStart"/>
      <w:r>
        <w:t>e :</w:t>
      </w:r>
      <w:proofErr w:type="gramEnd"/>
    </w:p>
    <w:p w:rsidR="00E92A28" w:rsidRDefault="00E92A28" w:rsidP="00060B87">
      <w:pPr>
        <w:pStyle w:val="TranscrioDoutrina"/>
      </w:pPr>
      <w:r>
        <w:t xml:space="preserve">“Art. 50-B. Os contratos de prestação de serviços de telecomunicações deverão prever </w:t>
      </w:r>
      <w:r w:rsidR="009D614B">
        <w:t>as condições para a cobrança de tarifas nos planos pós-pagos e as formas de reembolso ao usuário de créditos não utilizados em planos pré-pagos, em caso de rescisão de contrato.</w:t>
      </w:r>
    </w:p>
    <w:p w:rsidR="009D614B" w:rsidRDefault="009D614B" w:rsidP="00060B87">
      <w:pPr>
        <w:pStyle w:val="TranscrioDoutrina"/>
      </w:pPr>
      <w:r>
        <w:t xml:space="preserve">§ 1º Nos planos pós-pagos, a cobrança da tarifa do último mês de prestação de serviço será proporcional ao número efetivo de dias de prestação, contados até a data do pedido de rescisão, vedada a cobrança de qualquer </w:t>
      </w:r>
      <w:r>
        <w:lastRenderedPageBreak/>
        <w:t>valor adicional a título de multa por prazo mínimo de permanência ou obrigação de fidelização do consumidor.</w:t>
      </w:r>
    </w:p>
    <w:p w:rsidR="009D614B" w:rsidRPr="00E92A28" w:rsidRDefault="009D614B" w:rsidP="00060B87">
      <w:pPr>
        <w:pStyle w:val="TranscrioDoutrina"/>
      </w:pPr>
      <w:r>
        <w:t>§ 2º Nos planos pré-pagos, os créditos não utilizados até a data do pedido de rescisão deverão ser integralmente reembolsados ao usuário, em dinheiro, no momento do protocolo do pedido, vedada a cobrança de qualquer valor adicional a título de multa por prazo mínimo de permanência ou obrigação de fidelização do consumidor.</w:t>
      </w:r>
    </w:p>
    <w:p w:rsidR="009D614B" w:rsidRDefault="009D614B">
      <w:pPr>
        <w:pStyle w:val="CorpoPadro"/>
      </w:pPr>
      <w:r>
        <w:t>Art. 3º Esta Lei entra em vigor na data da sua publicação.</w:t>
      </w:r>
    </w:p>
    <w:p w:rsidR="004D04DE" w:rsidRDefault="009F025D" w:rsidP="00CA6DFA">
      <w:pPr>
        <w:pStyle w:val="Ttulo3"/>
      </w:pPr>
      <w:r>
        <w:t>JUSTIFICAÇÃO</w:t>
      </w:r>
    </w:p>
    <w:p w:rsidR="004D04DE" w:rsidRDefault="0070677D">
      <w:pPr>
        <w:pStyle w:val="CorpoPadro"/>
      </w:pPr>
      <w:r>
        <w:t xml:space="preserve">O estímulo à competição foi um dos motivadores da reforma das telecomunicações no Brasil, iniciada com a privatização do sistema Telebrás e posteriormente complementada com a abertura do mercado para novas empresas. Em compasso com este objetivo, diversas outras medidas foram tomadas pelos órgãos reguladores, com o intuito de tornar </w:t>
      </w:r>
      <w:r w:rsidR="00CD274B">
        <w:t xml:space="preserve">realidade </w:t>
      </w:r>
      <w:r>
        <w:t>a competição entre as operadoras. Cite-se, por exemplo, o estabelecimento da portabilidade, que possibilita aos usuários trocar de prestador do serviço sem abrir mão do seu código de assinante. O objetivo final é estimular a oferta de serviços de qualidade, a preços acessíveis, de modo a beneficiar o consumidor.</w:t>
      </w:r>
    </w:p>
    <w:p w:rsidR="0070677D" w:rsidRDefault="00DB6450">
      <w:pPr>
        <w:pStyle w:val="CorpoPadro"/>
      </w:pPr>
      <w:r>
        <w:t>Contudo, as empresas de telefonia vêm utilizando subterfúgios que, na prática, contrariam o princípio da competição que deveria imperar. Um</w:t>
      </w:r>
      <w:r w:rsidR="00CD274B">
        <w:t>a</w:t>
      </w:r>
      <w:r>
        <w:t xml:space="preserve"> d</w:t>
      </w:r>
      <w:r w:rsidR="00CD274B">
        <w:t>as práticas</w:t>
      </w:r>
      <w:r>
        <w:t xml:space="preserve"> mais conhecidos é </w:t>
      </w:r>
      <w:r w:rsidR="00CD274B">
        <w:t>a</w:t>
      </w:r>
      <w:r>
        <w:t xml:space="preserve"> da fidelização, que penaliza o consumidor em caso de rescisão antecipada do contrato. Contudo, outros artifícios também vêm sendo utilizados, com o mesmo intuito de impedir a migração dos usuários para outras operadoras. Por exemplo, é comum que exista, no mês de rompimento do contrato, a cobrança do valor integral da tarifa, mesmo sem que tenha havido a efetiva prestação do serviço. Há casos extremos, por exemplo, em que a utilização dos serviços por um único dia enseja a cobrança da tarifa relativa ao mês inteiro, gerando prejuízos evidentes ao consumidor. Da mesma forma, no caso de planos pré-pagos, não há o reembolso dos créditos não utilizados aos clientes, no momento da rescisão, o que gera perdas aos usuários.</w:t>
      </w:r>
    </w:p>
    <w:p w:rsidR="00DB6450" w:rsidRDefault="00075A96">
      <w:pPr>
        <w:pStyle w:val="CorpoPadro"/>
      </w:pPr>
      <w:r>
        <w:lastRenderedPageBreak/>
        <w:t xml:space="preserve">Para sanar definitivamente esses problemas, apresentamos o presente projeto de lei, que </w:t>
      </w:r>
      <w:r w:rsidRPr="00075A96">
        <w:t>estabelece condições para a cobrança de tarifas de planos pós-pagos e a obrigatoriedade de reembolso de créditos não utilizados de planos pré-pagos, em caso de rescisão de contrato de prestação de serviços de telecomunicações.</w:t>
      </w:r>
      <w:r>
        <w:t xml:space="preserve"> Para tanto, inserimos novos dispositivos no Código de Defesa do Consumidor, de modo a criar regras que eliminem de uma vez por todas tais práticas </w:t>
      </w:r>
      <w:proofErr w:type="spellStart"/>
      <w:r>
        <w:t>anticoncorrenciais</w:t>
      </w:r>
      <w:proofErr w:type="spellEnd"/>
      <w:r>
        <w:t xml:space="preserve"> corriqueiramente utilizadas pelas operadoras de telefonia. É, pois, com a certeza da conveniência e oportunidade desta proposição que conclamamos o apoio dos nobres Pares na sua aprovação.</w:t>
      </w:r>
    </w:p>
    <w:p w:rsidR="004D04DE" w:rsidRDefault="009F025D">
      <w:pPr>
        <w:pStyle w:val="data"/>
      </w:pPr>
      <w:r>
        <w:t>Sala das Sessões, em</w:t>
      </w:r>
      <w:r w:rsidR="00F1443E">
        <w:t xml:space="preserve"> 16</w:t>
      </w:r>
      <w:r>
        <w:t xml:space="preserve"> de </w:t>
      </w:r>
      <w:r w:rsidR="00F1443E">
        <w:t>fevereiro</w:t>
      </w:r>
      <w:r>
        <w:t xml:space="preserve"> de 201</w:t>
      </w:r>
      <w:r w:rsidR="005662FA">
        <w:t>6</w:t>
      </w:r>
      <w:bookmarkStart w:id="0" w:name="_GoBack"/>
      <w:bookmarkEnd w:id="0"/>
      <w:r>
        <w:t>.</w:t>
      </w:r>
    </w:p>
    <w:p w:rsidR="002D4251" w:rsidRPr="002D4251" w:rsidRDefault="00060B87" w:rsidP="00CA6DFA">
      <w:pPr>
        <w:widowControl w:val="0"/>
        <w:spacing w:line="360" w:lineRule="exact"/>
        <w:ind w:left="1701"/>
        <w:jc w:val="center"/>
        <w:rPr>
          <w:rFonts w:ascii="Arial" w:hAnsi="Arial"/>
          <w:b/>
          <w:snapToGrid w:val="0"/>
          <w:color w:val="000000"/>
          <w:sz w:val="24"/>
        </w:rPr>
      </w:pPr>
      <w:r w:rsidRPr="002D4251">
        <w:rPr>
          <w:rFonts w:ascii="Arial" w:hAnsi="Arial"/>
          <w:b/>
          <w:snapToGrid w:val="0"/>
          <w:color w:val="000000"/>
          <w:sz w:val="24"/>
        </w:rPr>
        <w:t>FLAVINHO</w:t>
      </w:r>
    </w:p>
    <w:p w:rsidR="004D04DE" w:rsidRPr="002D4251" w:rsidRDefault="002D4251" w:rsidP="00CA6DFA">
      <w:pPr>
        <w:widowControl w:val="0"/>
        <w:spacing w:line="360" w:lineRule="exact"/>
        <w:ind w:left="1701"/>
        <w:jc w:val="center"/>
        <w:rPr>
          <w:rFonts w:ascii="Arial" w:hAnsi="Arial"/>
          <w:b/>
          <w:snapToGrid w:val="0"/>
          <w:color w:val="000000"/>
          <w:sz w:val="24"/>
        </w:rPr>
      </w:pPr>
      <w:r w:rsidRPr="002D4251">
        <w:rPr>
          <w:rFonts w:ascii="Arial" w:hAnsi="Arial"/>
          <w:b/>
          <w:snapToGrid w:val="0"/>
          <w:color w:val="000000"/>
          <w:sz w:val="24"/>
        </w:rPr>
        <w:t xml:space="preserve">Deputado </w:t>
      </w:r>
      <w:proofErr w:type="gramStart"/>
      <w:r w:rsidRPr="002D4251">
        <w:rPr>
          <w:rFonts w:ascii="Arial" w:hAnsi="Arial"/>
          <w:b/>
          <w:snapToGrid w:val="0"/>
          <w:color w:val="000000"/>
          <w:sz w:val="24"/>
        </w:rPr>
        <w:t>Federal  -</w:t>
      </w:r>
      <w:proofErr w:type="gramEnd"/>
      <w:r w:rsidRPr="002D4251">
        <w:rPr>
          <w:rFonts w:ascii="Arial" w:hAnsi="Arial"/>
          <w:b/>
          <w:snapToGrid w:val="0"/>
          <w:color w:val="000000"/>
          <w:sz w:val="24"/>
        </w:rPr>
        <w:t xml:space="preserve"> PSB/SP</w:t>
      </w:r>
      <w:r w:rsidR="009F025D" w:rsidRPr="002D4251">
        <w:rPr>
          <w:rFonts w:ascii="Arial" w:hAnsi="Arial"/>
          <w:b/>
          <w:snapToGrid w:val="0"/>
          <w:color w:val="000000"/>
          <w:sz w:val="24"/>
        </w:rPr>
        <w:t xml:space="preserve"> </w:t>
      </w: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060B87" w:rsidRDefault="00060B87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4D04DE" w:rsidRDefault="004D04DE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sectPr w:rsidR="004D04DE">
      <w:headerReference w:type="even" r:id="rId7"/>
      <w:headerReference w:type="default" r:id="rId8"/>
      <w:pgSz w:w="11908" w:h="16833"/>
      <w:pgMar w:top="1985" w:right="1701" w:bottom="1134" w:left="1701" w:header="794" w:footer="79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50F" w:rsidRDefault="0023250F">
      <w:r>
        <w:separator/>
      </w:r>
    </w:p>
  </w:endnote>
  <w:endnote w:type="continuationSeparator" w:id="0">
    <w:p w:rsidR="0023250F" w:rsidRDefault="00232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rlito"/>
    <w:panose1 w:val="020F0502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50F" w:rsidRDefault="0023250F">
      <w:r>
        <w:separator/>
      </w:r>
    </w:p>
  </w:footnote>
  <w:footnote w:type="continuationSeparator" w:id="0">
    <w:p w:rsidR="0023250F" w:rsidRDefault="00232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4DE" w:rsidRDefault="009F025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D04DE" w:rsidRDefault="004D04DE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4DE" w:rsidRDefault="009F025D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360"/>
      <w:jc w:val="right"/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pgNum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5D"/>
    <w:rsid w:val="00060B87"/>
    <w:rsid w:val="00075A96"/>
    <w:rsid w:val="00087C3C"/>
    <w:rsid w:val="000B4E98"/>
    <w:rsid w:val="0023250F"/>
    <w:rsid w:val="00241C21"/>
    <w:rsid w:val="002D4251"/>
    <w:rsid w:val="002D7D6B"/>
    <w:rsid w:val="003210AE"/>
    <w:rsid w:val="003E5706"/>
    <w:rsid w:val="004D04DE"/>
    <w:rsid w:val="005662FA"/>
    <w:rsid w:val="00603E21"/>
    <w:rsid w:val="006448A7"/>
    <w:rsid w:val="0070677D"/>
    <w:rsid w:val="00725034"/>
    <w:rsid w:val="009D614B"/>
    <w:rsid w:val="009F025D"/>
    <w:rsid w:val="00CA6DFA"/>
    <w:rsid w:val="00CD274B"/>
    <w:rsid w:val="00CD719C"/>
    <w:rsid w:val="00DB6450"/>
    <w:rsid w:val="00E92A28"/>
    <w:rsid w:val="00F1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98AE85-CECD-4E24-BB38-FF2741D20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spacing w:before="1786" w:line="360" w:lineRule="exact"/>
      <w:jc w:val="center"/>
      <w:outlineLvl w:val="1"/>
    </w:pPr>
    <w:rPr>
      <w:rFonts w:ascii="Arial" w:hAnsi="Arial"/>
      <w:b/>
      <w:caps/>
      <w:snapToGrid w:val="0"/>
      <w:color w:val="000000"/>
      <w:sz w:val="28"/>
    </w:rPr>
  </w:style>
  <w:style w:type="paragraph" w:styleId="Ttulo3">
    <w:name w:val="heading 3"/>
    <w:basedOn w:val="Normal"/>
    <w:next w:val="Normal"/>
    <w:autoRedefine/>
    <w:qFormat/>
    <w:rsid w:val="00CA6DFA"/>
    <w:pPr>
      <w:spacing w:before="600" w:after="754" w:line="360" w:lineRule="exact"/>
      <w:jc w:val="center"/>
      <w:outlineLvl w:val="2"/>
    </w:pPr>
    <w:rPr>
      <w:rFonts w:ascii="Arial" w:hAnsi="Arial"/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styleId="Ttulo">
    <w:name w:val="Title"/>
    <w:basedOn w:val="Normal"/>
    <w:qFormat/>
    <w:pPr>
      <w:widowControl w:val="0"/>
      <w:spacing w:line="360" w:lineRule="exact"/>
      <w:jc w:val="center"/>
    </w:pPr>
    <w:rPr>
      <w:rFonts w:ascii="Arial" w:hAnsi="Arial"/>
      <w:b/>
      <w:snapToGrid w:val="0"/>
      <w:color w:val="000000"/>
      <w:sz w:val="28"/>
    </w:r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647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     , DE 199 </vt:lpstr>
    </vt:vector>
  </TitlesOfParts>
  <Company>Camara dos Deputados</Company>
  <LinksUpToDate>false</LinksUpToDate>
  <CharactersWithSpaces>4139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     , DE 199</dc:title>
  <dc:subject>Projeto de Lei</dc:subject>
  <dc:creator>P_3515</dc:creator>
  <cp:lastModifiedBy>Dep. Flavinho</cp:lastModifiedBy>
  <cp:revision>8</cp:revision>
  <cp:lastPrinted>1998-06-04T20:57:00Z</cp:lastPrinted>
  <dcterms:created xsi:type="dcterms:W3CDTF">2015-12-23T17:44:00Z</dcterms:created>
  <dcterms:modified xsi:type="dcterms:W3CDTF">2016-02-16T21:46:00Z</dcterms:modified>
</cp:coreProperties>
</file>