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4F7754" w:rsidRDefault="009A4896" w:rsidP="009A4896">
      <w:pPr>
        <w:widowControl w:val="0"/>
        <w:autoSpaceDE w:val="0"/>
        <w:autoSpaceDN w:val="0"/>
        <w:adjustRightInd w:val="0"/>
        <w:spacing w:after="0" w:line="240" w:lineRule="auto"/>
        <w:jc w:val="center"/>
        <w:rPr>
          <w:rFonts w:ascii="Arial" w:hAnsi="Arial" w:cs="Arial"/>
          <w:b/>
          <w:bCs/>
          <w:sz w:val="28"/>
          <w:szCs w:val="28"/>
        </w:rPr>
      </w:pPr>
      <w:r w:rsidRPr="004F7754">
        <w:rPr>
          <w:rFonts w:ascii="Arial" w:hAnsi="Arial" w:cs="Arial"/>
          <w:b/>
          <w:bCs/>
          <w:sz w:val="28"/>
          <w:szCs w:val="28"/>
        </w:rPr>
        <w:t xml:space="preserve">PROJETO </w:t>
      </w:r>
      <w:r w:rsidR="00B546A1" w:rsidRPr="004F7754">
        <w:rPr>
          <w:rFonts w:ascii="Arial" w:hAnsi="Arial" w:cs="Arial"/>
          <w:b/>
          <w:bCs/>
          <w:sz w:val="28"/>
          <w:szCs w:val="28"/>
        </w:rPr>
        <w:t xml:space="preserve">DE LEI Nº           </w:t>
      </w:r>
      <w:proofErr w:type="gramStart"/>
      <w:r w:rsidR="00B546A1" w:rsidRPr="004F7754">
        <w:rPr>
          <w:rFonts w:ascii="Arial" w:hAnsi="Arial" w:cs="Arial"/>
          <w:b/>
          <w:bCs/>
          <w:sz w:val="28"/>
          <w:szCs w:val="28"/>
        </w:rPr>
        <w:t xml:space="preserve">  ,</w:t>
      </w:r>
      <w:proofErr w:type="gramEnd"/>
      <w:r w:rsidR="00B546A1" w:rsidRPr="004F7754">
        <w:rPr>
          <w:rFonts w:ascii="Arial" w:hAnsi="Arial" w:cs="Arial"/>
          <w:b/>
          <w:bCs/>
          <w:sz w:val="28"/>
          <w:szCs w:val="28"/>
        </w:rPr>
        <w:t xml:space="preserve"> DE 2015</w:t>
      </w:r>
    </w:p>
    <w:p w:rsidR="009A4896" w:rsidRPr="004F7754" w:rsidRDefault="009A4896" w:rsidP="009A4896">
      <w:pPr>
        <w:widowControl w:val="0"/>
        <w:autoSpaceDE w:val="0"/>
        <w:autoSpaceDN w:val="0"/>
        <w:adjustRightInd w:val="0"/>
        <w:jc w:val="center"/>
        <w:rPr>
          <w:rFonts w:ascii="Arial" w:hAnsi="Arial" w:cs="Arial"/>
          <w:sz w:val="28"/>
          <w:szCs w:val="28"/>
        </w:rPr>
      </w:pPr>
      <w:r w:rsidRPr="004F7754">
        <w:rPr>
          <w:rFonts w:ascii="Arial" w:hAnsi="Arial" w:cs="Arial"/>
          <w:b/>
          <w:bCs/>
          <w:sz w:val="28"/>
          <w:szCs w:val="28"/>
        </w:rPr>
        <w:t xml:space="preserve">(Do Sr. </w:t>
      </w:r>
      <w:proofErr w:type="spellStart"/>
      <w:r w:rsidR="0052174D" w:rsidRPr="004F7754">
        <w:rPr>
          <w:rFonts w:ascii="Arial" w:hAnsi="Arial" w:cs="Arial"/>
          <w:b/>
          <w:bCs/>
          <w:sz w:val="28"/>
          <w:szCs w:val="28"/>
        </w:rPr>
        <w:t>Indio</w:t>
      </w:r>
      <w:proofErr w:type="spellEnd"/>
      <w:r w:rsidR="0052174D" w:rsidRPr="004F7754">
        <w:rPr>
          <w:rFonts w:ascii="Arial" w:hAnsi="Arial" w:cs="Arial"/>
          <w:b/>
          <w:bCs/>
          <w:sz w:val="28"/>
          <w:szCs w:val="28"/>
        </w:rPr>
        <w:t xml:space="preserve"> da Costa</w:t>
      </w:r>
      <w:r w:rsidRPr="004F7754">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115CBD" w:rsidRPr="004F7754" w:rsidRDefault="004F7754" w:rsidP="004F7754">
      <w:pPr>
        <w:autoSpaceDE w:val="0"/>
        <w:autoSpaceDN w:val="0"/>
        <w:adjustRightInd w:val="0"/>
        <w:spacing w:after="0" w:line="240" w:lineRule="auto"/>
        <w:ind w:left="3969"/>
        <w:jc w:val="both"/>
        <w:rPr>
          <w:rFonts w:ascii="Arial" w:hAnsi="Arial" w:cs="Arial"/>
          <w:sz w:val="24"/>
          <w:szCs w:val="24"/>
          <w:lang w:eastAsia="en-US"/>
        </w:rPr>
      </w:pPr>
      <w:r w:rsidRPr="004F7754">
        <w:rPr>
          <w:rFonts w:ascii="Arial" w:hAnsi="Arial" w:cs="Arial"/>
          <w:sz w:val="24"/>
          <w:szCs w:val="24"/>
          <w:lang w:eastAsia="en-US"/>
        </w:rPr>
        <w:t>Altera os §§ 7º, 8º, 9º e 10 do art. 17 da Lei nº 8.429, de 2 de junho de 1992, para agilizar a tramitação da ação de improbidade administrativa.</w:t>
      </w: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4F7754" w:rsidRPr="00B67E63" w:rsidRDefault="004F7754" w:rsidP="004F7754">
      <w:pPr>
        <w:autoSpaceDE w:val="0"/>
        <w:autoSpaceDN w:val="0"/>
        <w:adjustRightInd w:val="0"/>
        <w:spacing w:after="0" w:line="360" w:lineRule="auto"/>
        <w:jc w:val="both"/>
        <w:rPr>
          <w:rFonts w:ascii="Arial" w:hAnsi="Arial" w:cs="Arial"/>
          <w:bCs/>
          <w:sz w:val="24"/>
          <w:szCs w:val="24"/>
          <w:lang w:eastAsia="en-US"/>
        </w:rPr>
      </w:pPr>
      <w:r w:rsidRPr="00B67E63">
        <w:rPr>
          <w:rFonts w:ascii="Arial" w:hAnsi="Arial" w:cs="Arial"/>
          <w:b/>
          <w:bCs/>
          <w:sz w:val="24"/>
          <w:szCs w:val="24"/>
          <w:lang w:eastAsia="en-US"/>
        </w:rPr>
        <w:t xml:space="preserve">Art. 1º </w:t>
      </w:r>
      <w:r w:rsidRPr="00B67E63">
        <w:rPr>
          <w:rFonts w:ascii="Arial" w:hAnsi="Arial" w:cs="Arial"/>
          <w:bCs/>
          <w:sz w:val="24"/>
          <w:szCs w:val="24"/>
          <w:lang w:eastAsia="en-US"/>
        </w:rPr>
        <w:t xml:space="preserve">Esta Lei tem o objetivo de alterar dispositivos da Lei nº 8.429, de 2 de julho de 1992, </w:t>
      </w:r>
      <w:r w:rsidR="00B67E63" w:rsidRPr="00B67E63">
        <w:rPr>
          <w:rFonts w:ascii="Arial" w:hAnsi="Arial" w:cs="Arial"/>
          <w:bCs/>
          <w:sz w:val="24"/>
          <w:szCs w:val="24"/>
          <w:lang w:eastAsia="en-US"/>
        </w:rPr>
        <w:t>que “d</w:t>
      </w:r>
      <w:r w:rsidR="00B67E63" w:rsidRPr="00B67E63">
        <w:rPr>
          <w:rFonts w:ascii="Arial" w:hAnsi="Arial" w:cs="Arial"/>
          <w:sz w:val="24"/>
          <w:szCs w:val="24"/>
          <w:shd w:val="clear" w:color="auto" w:fill="FFFFFF"/>
        </w:rPr>
        <w:t xml:space="preserve">ispõe sobre as sanções aplicáveis aos agentes públicos nos casos de enriquecimento ilícito no exercício de mandato, cargo, emprego ou função na administração pública direta, indireta ou fundacional e dá outras providências”, </w:t>
      </w:r>
      <w:r w:rsidRPr="00B67E63">
        <w:rPr>
          <w:rFonts w:ascii="Arial" w:hAnsi="Arial" w:cs="Arial"/>
          <w:bCs/>
          <w:sz w:val="24"/>
          <w:szCs w:val="24"/>
          <w:lang w:eastAsia="en-US"/>
        </w:rPr>
        <w:t>para agilizar a tramitação da ação de improbidade administrativa.</w:t>
      </w:r>
    </w:p>
    <w:p w:rsidR="004F7754" w:rsidRPr="004F7754" w:rsidRDefault="004F7754" w:rsidP="004F7754">
      <w:pPr>
        <w:autoSpaceDE w:val="0"/>
        <w:autoSpaceDN w:val="0"/>
        <w:adjustRightInd w:val="0"/>
        <w:spacing w:after="0" w:line="360" w:lineRule="auto"/>
        <w:jc w:val="both"/>
        <w:rPr>
          <w:rFonts w:ascii="Arial" w:hAnsi="Arial" w:cs="Arial"/>
          <w:bCs/>
          <w:sz w:val="24"/>
          <w:szCs w:val="24"/>
          <w:lang w:eastAsia="en-US"/>
        </w:rPr>
      </w:pPr>
    </w:p>
    <w:p w:rsidR="004F7754" w:rsidRPr="004F7754" w:rsidRDefault="00B43877" w:rsidP="004F7754">
      <w:pPr>
        <w:autoSpaceDE w:val="0"/>
        <w:autoSpaceDN w:val="0"/>
        <w:adjustRightInd w:val="0"/>
        <w:spacing w:after="0" w:line="360" w:lineRule="auto"/>
        <w:jc w:val="both"/>
        <w:rPr>
          <w:rFonts w:ascii="Arial" w:hAnsi="Arial" w:cs="Arial"/>
          <w:sz w:val="24"/>
          <w:szCs w:val="24"/>
          <w:lang w:eastAsia="en-US"/>
        </w:rPr>
      </w:pPr>
      <w:r>
        <w:rPr>
          <w:rFonts w:ascii="Arial" w:hAnsi="Arial" w:cs="Arial"/>
          <w:b/>
          <w:bCs/>
          <w:sz w:val="24"/>
          <w:szCs w:val="24"/>
          <w:lang w:eastAsia="en-US"/>
        </w:rPr>
        <w:t>Art. 2</w:t>
      </w:r>
      <w:r w:rsidR="004F7754" w:rsidRPr="004F7754">
        <w:rPr>
          <w:rFonts w:ascii="Arial" w:hAnsi="Arial" w:cs="Arial"/>
          <w:b/>
          <w:bCs/>
          <w:sz w:val="24"/>
          <w:szCs w:val="24"/>
          <w:lang w:eastAsia="en-US"/>
        </w:rPr>
        <w:t xml:space="preserve">º </w:t>
      </w:r>
      <w:r w:rsidR="004F7754" w:rsidRPr="004F7754">
        <w:rPr>
          <w:rFonts w:ascii="Arial" w:hAnsi="Arial" w:cs="Arial"/>
          <w:sz w:val="24"/>
          <w:szCs w:val="24"/>
          <w:lang w:eastAsia="en-US"/>
        </w:rPr>
        <w:t>Os §§ 7º, 8º, 9º e 10 do art. 17 da Lei nº 8.429, de 2 de junho de 1992, passam a</w:t>
      </w:r>
      <w:r w:rsidR="004F7754">
        <w:rPr>
          <w:rFonts w:ascii="Arial" w:hAnsi="Arial" w:cs="Arial"/>
          <w:sz w:val="24"/>
          <w:szCs w:val="24"/>
          <w:lang w:eastAsia="en-US"/>
        </w:rPr>
        <w:t xml:space="preserve"> </w:t>
      </w:r>
      <w:r w:rsidR="004F7754" w:rsidRPr="004F7754">
        <w:rPr>
          <w:rFonts w:ascii="Arial" w:hAnsi="Arial" w:cs="Arial"/>
          <w:sz w:val="24"/>
          <w:szCs w:val="24"/>
          <w:lang w:eastAsia="en-US"/>
        </w:rPr>
        <w:t>vigorar com a seguinte redação:</w:t>
      </w:r>
    </w:p>
    <w:p w:rsid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sidRPr="004F7754">
        <w:rPr>
          <w:rFonts w:ascii="Arial" w:hAnsi="Arial" w:cs="Arial"/>
          <w:sz w:val="24"/>
          <w:szCs w:val="24"/>
          <w:lang w:eastAsia="en-US"/>
        </w:rPr>
        <w:t>“Art. 17. ...................................................................................................</w:t>
      </w:r>
    </w:p>
    <w:p w:rsidR="004F7754" w:rsidRP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p>
    <w:p w:rsidR="004F7754" w:rsidRP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sidRPr="004F7754">
        <w:rPr>
          <w:rFonts w:ascii="Arial" w:hAnsi="Arial" w:cs="Arial"/>
          <w:sz w:val="24"/>
          <w:szCs w:val="24"/>
          <w:lang w:eastAsia="en-US"/>
        </w:rPr>
        <w:t>§ 7º Estando a inicial em devida forma, o juiz mandará autuá-la e ordenará a citação do</w:t>
      </w:r>
      <w:r>
        <w:rPr>
          <w:rFonts w:ascii="Arial" w:hAnsi="Arial" w:cs="Arial"/>
          <w:sz w:val="24"/>
          <w:szCs w:val="24"/>
          <w:lang w:eastAsia="en-US"/>
        </w:rPr>
        <w:t xml:space="preserve"> </w:t>
      </w:r>
      <w:r w:rsidRPr="004F7754">
        <w:rPr>
          <w:rFonts w:ascii="Arial" w:hAnsi="Arial" w:cs="Arial"/>
          <w:sz w:val="24"/>
          <w:szCs w:val="24"/>
          <w:lang w:eastAsia="en-US"/>
        </w:rPr>
        <w:t>requerido para responder à ação e oferecer contestação, no prazo de quinze dias.</w:t>
      </w:r>
    </w:p>
    <w:p w:rsidR="004F7754" w:rsidRP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sidRPr="004F7754">
        <w:rPr>
          <w:rFonts w:ascii="Arial" w:hAnsi="Arial" w:cs="Arial"/>
          <w:sz w:val="24"/>
          <w:szCs w:val="24"/>
          <w:lang w:eastAsia="en-US"/>
        </w:rPr>
        <w:t>§ 8º Juntada a contestação, o juiz, no prazo de trinta dias, em decisão fundamentada,</w:t>
      </w:r>
      <w:r>
        <w:rPr>
          <w:rFonts w:ascii="Arial" w:hAnsi="Arial" w:cs="Arial"/>
          <w:sz w:val="24"/>
          <w:szCs w:val="24"/>
          <w:lang w:eastAsia="en-US"/>
        </w:rPr>
        <w:t xml:space="preserve"> </w:t>
      </w:r>
      <w:r w:rsidRPr="004F7754">
        <w:rPr>
          <w:rFonts w:ascii="Arial" w:hAnsi="Arial" w:cs="Arial"/>
          <w:sz w:val="24"/>
          <w:szCs w:val="24"/>
          <w:lang w:eastAsia="en-US"/>
        </w:rPr>
        <w:t>rejeitará a ação, se convencido da inexistência do ato de improbidade, da improcedência da</w:t>
      </w:r>
      <w:r>
        <w:rPr>
          <w:rFonts w:ascii="Arial" w:hAnsi="Arial" w:cs="Arial"/>
          <w:sz w:val="24"/>
          <w:szCs w:val="24"/>
          <w:lang w:eastAsia="en-US"/>
        </w:rPr>
        <w:t xml:space="preserve"> </w:t>
      </w:r>
      <w:r w:rsidRPr="004F7754">
        <w:rPr>
          <w:rFonts w:ascii="Arial" w:hAnsi="Arial" w:cs="Arial"/>
          <w:sz w:val="24"/>
          <w:szCs w:val="24"/>
          <w:lang w:eastAsia="en-US"/>
        </w:rPr>
        <w:t>ação ou da inadequação da via eleita.</w:t>
      </w:r>
    </w:p>
    <w:p w:rsidR="004F7754" w:rsidRP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sidRPr="004F7754">
        <w:rPr>
          <w:rFonts w:ascii="Arial" w:hAnsi="Arial" w:cs="Arial"/>
          <w:sz w:val="24"/>
          <w:szCs w:val="24"/>
          <w:lang w:eastAsia="en-US"/>
        </w:rPr>
        <w:t>§ 9º Da decisão que determinar o prosseguimento da ação, caberá agravo retido.</w:t>
      </w:r>
    </w:p>
    <w:p w:rsid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sidRPr="004F7754">
        <w:rPr>
          <w:rFonts w:ascii="Arial" w:hAnsi="Arial" w:cs="Arial"/>
          <w:sz w:val="24"/>
          <w:szCs w:val="24"/>
          <w:lang w:eastAsia="en-US"/>
        </w:rPr>
        <w:t>§ 10. Presumem-se válidas as intimações e notificações dirigidas ao endereço no qual se</w:t>
      </w:r>
      <w:r>
        <w:rPr>
          <w:rFonts w:ascii="Arial" w:hAnsi="Arial" w:cs="Arial"/>
          <w:sz w:val="24"/>
          <w:szCs w:val="24"/>
          <w:lang w:eastAsia="en-US"/>
        </w:rPr>
        <w:t xml:space="preserve"> </w:t>
      </w:r>
      <w:r w:rsidRPr="004F7754">
        <w:rPr>
          <w:rFonts w:ascii="Arial" w:hAnsi="Arial" w:cs="Arial"/>
          <w:sz w:val="24"/>
          <w:szCs w:val="24"/>
          <w:lang w:eastAsia="en-US"/>
        </w:rPr>
        <w:t>deu a citação do réu, cumprindo à parte atualizá-lo sempre que houver sua modificação</w:t>
      </w:r>
      <w:r>
        <w:rPr>
          <w:rFonts w:ascii="Arial" w:hAnsi="Arial" w:cs="Arial"/>
          <w:sz w:val="24"/>
          <w:szCs w:val="24"/>
          <w:lang w:eastAsia="en-US"/>
        </w:rPr>
        <w:t xml:space="preserve"> </w:t>
      </w:r>
      <w:r w:rsidRPr="004F7754">
        <w:rPr>
          <w:rFonts w:ascii="Arial" w:hAnsi="Arial" w:cs="Arial"/>
          <w:sz w:val="24"/>
          <w:szCs w:val="24"/>
          <w:lang w:eastAsia="en-US"/>
        </w:rPr>
        <w:t>temporária ou definitiva.</w:t>
      </w:r>
    </w:p>
    <w:p w:rsidR="004F7754" w:rsidRPr="004F7754" w:rsidRDefault="004F7754" w:rsidP="004F7754">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Pr="004F7754">
        <w:rPr>
          <w:rFonts w:ascii="Arial" w:hAnsi="Arial" w:cs="Arial"/>
          <w:sz w:val="24"/>
          <w:szCs w:val="24"/>
          <w:lang w:eastAsia="en-US"/>
        </w:rPr>
        <w:t>” (NR)</w:t>
      </w:r>
    </w:p>
    <w:p w:rsidR="00D67EB1" w:rsidRPr="004F7754" w:rsidRDefault="00B43877" w:rsidP="004F7754">
      <w:pPr>
        <w:autoSpaceDE w:val="0"/>
        <w:autoSpaceDN w:val="0"/>
        <w:adjustRightInd w:val="0"/>
        <w:spacing w:after="0" w:line="360" w:lineRule="auto"/>
        <w:jc w:val="both"/>
        <w:rPr>
          <w:rFonts w:ascii="Arial" w:hAnsi="Arial" w:cs="Arial"/>
          <w:b/>
          <w:bCs/>
          <w:sz w:val="24"/>
          <w:szCs w:val="24"/>
          <w:u w:val="single"/>
          <w:lang w:eastAsia="en-US"/>
        </w:rPr>
      </w:pPr>
      <w:r>
        <w:rPr>
          <w:rFonts w:ascii="Arial" w:hAnsi="Arial" w:cs="Arial"/>
          <w:b/>
          <w:bCs/>
          <w:sz w:val="24"/>
          <w:szCs w:val="24"/>
          <w:lang w:eastAsia="en-US"/>
        </w:rPr>
        <w:t>Art. 3</w:t>
      </w:r>
      <w:r w:rsidR="004F7754" w:rsidRPr="004F7754">
        <w:rPr>
          <w:rFonts w:ascii="Arial" w:hAnsi="Arial" w:cs="Arial"/>
          <w:b/>
          <w:bCs/>
          <w:sz w:val="24"/>
          <w:szCs w:val="24"/>
          <w:lang w:eastAsia="en-US"/>
        </w:rPr>
        <w:t xml:space="preserve">º </w:t>
      </w:r>
      <w:r w:rsidR="004F7754" w:rsidRPr="004F7754">
        <w:rPr>
          <w:rFonts w:ascii="Arial" w:hAnsi="Arial" w:cs="Arial"/>
          <w:sz w:val="24"/>
          <w:szCs w:val="24"/>
          <w:lang w:eastAsia="en-US"/>
        </w:rPr>
        <w:t>Esta Lei entra em vigor na data de sua publicação.</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B546A1" w:rsidRDefault="00B546A1" w:rsidP="00D67EB1">
      <w:pPr>
        <w:autoSpaceDE w:val="0"/>
        <w:autoSpaceDN w:val="0"/>
        <w:adjustRightInd w:val="0"/>
        <w:spacing w:after="0" w:line="240" w:lineRule="auto"/>
        <w:jc w:val="center"/>
        <w:rPr>
          <w:rFonts w:ascii="Arial" w:hAnsi="Arial" w:cs="Arial"/>
          <w:b/>
          <w:bCs/>
          <w:sz w:val="32"/>
          <w:szCs w:val="32"/>
          <w:u w:val="single"/>
          <w:lang w:eastAsia="en-US"/>
        </w:rPr>
      </w:pPr>
    </w:p>
    <w:p w:rsidR="004F7754" w:rsidRDefault="004F7754"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Pr>
          <w:rFonts w:ascii="Arial" w:hAnsi="Arial" w:cs="Arial"/>
          <w:sz w:val="24"/>
          <w:szCs w:val="24"/>
        </w:rPr>
        <w:t>Deltan</w:t>
      </w:r>
      <w:proofErr w:type="spellEnd"/>
      <w:r>
        <w:rPr>
          <w:rFonts w:ascii="Arial" w:hAnsi="Arial" w:cs="Arial"/>
          <w:sz w:val="24"/>
          <w:szCs w:val="24"/>
        </w:rPr>
        <w:t xml:space="preserve"> </w:t>
      </w:r>
      <w:proofErr w:type="spellStart"/>
      <w:r>
        <w:rPr>
          <w:rFonts w:ascii="Arial" w:hAnsi="Arial" w:cs="Arial"/>
          <w:sz w:val="24"/>
          <w:szCs w:val="24"/>
        </w:rPr>
        <w:t>Dallagnol</w:t>
      </w:r>
      <w:proofErr w:type="spellEnd"/>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w:t>
      </w:r>
      <w:bookmarkStart w:id="0" w:name="_GoBack"/>
      <w:bookmarkEnd w:id="0"/>
      <w:r>
        <w:rPr>
          <w:rFonts w:ascii="Arial" w:hAnsi="Arial" w:cs="Arial"/>
          <w:sz w:val="24"/>
          <w:szCs w:val="24"/>
        </w:rPr>
        <w:t>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7E2A14" w:rsidRDefault="007E2A14" w:rsidP="007E2A14">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7E2A14" w:rsidRDefault="007E2A14" w:rsidP="00B67E63">
      <w:pPr>
        <w:autoSpaceDE w:val="0"/>
        <w:autoSpaceDN w:val="0"/>
        <w:adjustRightInd w:val="0"/>
        <w:spacing w:after="0" w:line="240" w:lineRule="auto"/>
        <w:ind w:firstLine="709"/>
        <w:jc w:val="both"/>
        <w:rPr>
          <w:rFonts w:ascii="Arial" w:hAnsi="Arial" w:cs="Arial"/>
          <w:sz w:val="24"/>
          <w:szCs w:val="24"/>
        </w:rPr>
      </w:pP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rPr>
        <w:t>As alterações propostas nos aludidos dispositivos do art. 17 da Lei nº 8</w:t>
      </w:r>
      <w:r w:rsidRPr="00B67E63">
        <w:rPr>
          <w:rFonts w:ascii="Arial" w:hAnsi="Arial" w:cs="Arial"/>
          <w:sz w:val="24"/>
          <w:szCs w:val="24"/>
          <w:lang w:eastAsia="en-US"/>
        </w:rPr>
        <w:t>.429, de 2 de junho</w:t>
      </w:r>
      <w:r>
        <w:rPr>
          <w:rFonts w:ascii="Arial" w:hAnsi="Arial" w:cs="Arial"/>
          <w:sz w:val="24"/>
          <w:szCs w:val="24"/>
          <w:lang w:eastAsia="en-US"/>
        </w:rPr>
        <w:t xml:space="preserve"> </w:t>
      </w:r>
      <w:r w:rsidRPr="00B67E63">
        <w:rPr>
          <w:rFonts w:ascii="Arial" w:hAnsi="Arial" w:cs="Arial"/>
          <w:sz w:val="24"/>
          <w:szCs w:val="24"/>
          <w:lang w:eastAsia="en-US"/>
        </w:rPr>
        <w:t>de 1992, buscam implementar melhorias no rito procedimental relacionado às ações de improbidade</w:t>
      </w:r>
      <w:r>
        <w:rPr>
          <w:rFonts w:ascii="Arial" w:hAnsi="Arial" w:cs="Arial"/>
          <w:sz w:val="24"/>
          <w:szCs w:val="24"/>
          <w:lang w:eastAsia="en-US"/>
        </w:rPr>
        <w:t xml:space="preserve"> </w:t>
      </w:r>
      <w:r w:rsidRPr="00B67E63">
        <w:rPr>
          <w:rFonts w:ascii="Arial" w:hAnsi="Arial" w:cs="Arial"/>
          <w:sz w:val="24"/>
          <w:szCs w:val="24"/>
          <w:lang w:eastAsia="en-US"/>
        </w:rPr>
        <w:t>administrativa, a fim de superar uma das principais causas responsáveis pela notória morosidade na</w:t>
      </w:r>
      <w:r>
        <w:rPr>
          <w:rFonts w:ascii="Arial" w:hAnsi="Arial" w:cs="Arial"/>
          <w:sz w:val="24"/>
          <w:szCs w:val="24"/>
          <w:lang w:eastAsia="en-US"/>
        </w:rPr>
        <w:t xml:space="preserve"> </w:t>
      </w:r>
      <w:r w:rsidRPr="00B67E63">
        <w:rPr>
          <w:rFonts w:ascii="Arial" w:hAnsi="Arial" w:cs="Arial"/>
          <w:sz w:val="24"/>
          <w:szCs w:val="24"/>
          <w:lang w:eastAsia="en-US"/>
        </w:rPr>
        <w:t>tramitação dessas ações.</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Pretende-se, com efeito, a extinção da esdrúxula fase de notificação preliminar e</w:t>
      </w:r>
      <w:r>
        <w:rPr>
          <w:rFonts w:ascii="Arial" w:hAnsi="Arial" w:cs="Arial"/>
          <w:sz w:val="24"/>
          <w:szCs w:val="24"/>
          <w:lang w:eastAsia="en-US"/>
        </w:rPr>
        <w:t xml:space="preserve"> </w:t>
      </w:r>
      <w:r w:rsidRPr="00B67E63">
        <w:rPr>
          <w:rFonts w:ascii="Arial" w:hAnsi="Arial" w:cs="Arial"/>
          <w:sz w:val="24"/>
          <w:szCs w:val="24"/>
          <w:lang w:eastAsia="en-US"/>
        </w:rPr>
        <w:t>recebimento da ação de improbidade administrativa.</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lastRenderedPageBreak/>
        <w:t>A Lei da Improbidade Administrativa teve como um de seus objetivos criar um mecanismo</w:t>
      </w:r>
      <w:r>
        <w:rPr>
          <w:rFonts w:ascii="Arial" w:hAnsi="Arial" w:cs="Arial"/>
          <w:sz w:val="24"/>
          <w:szCs w:val="24"/>
          <w:lang w:eastAsia="en-US"/>
        </w:rPr>
        <w:t xml:space="preserve"> </w:t>
      </w:r>
      <w:r w:rsidRPr="00B67E63">
        <w:rPr>
          <w:rFonts w:ascii="Arial" w:hAnsi="Arial" w:cs="Arial"/>
          <w:sz w:val="24"/>
          <w:szCs w:val="24"/>
          <w:lang w:eastAsia="en-US"/>
        </w:rPr>
        <w:t>judicial célere que permitisse a responsabilização de natureza cível e administrativa com relação a</w:t>
      </w:r>
      <w:r>
        <w:rPr>
          <w:rFonts w:ascii="Arial" w:hAnsi="Arial" w:cs="Arial"/>
          <w:sz w:val="24"/>
          <w:szCs w:val="24"/>
          <w:lang w:eastAsia="en-US"/>
        </w:rPr>
        <w:t xml:space="preserve"> </w:t>
      </w:r>
      <w:r w:rsidRPr="00B67E63">
        <w:rPr>
          <w:rFonts w:ascii="Arial" w:hAnsi="Arial" w:cs="Arial"/>
          <w:sz w:val="24"/>
          <w:szCs w:val="24"/>
          <w:lang w:eastAsia="en-US"/>
        </w:rPr>
        <w:t>agentes públicos que praticaram ou tentaram praticar atos ímprobos.</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No entanto, ultrapassados mais de vinte anos desde a edição da Lei nº 8.429/1992, o que se</w:t>
      </w:r>
      <w:r>
        <w:rPr>
          <w:rFonts w:ascii="Arial" w:hAnsi="Arial" w:cs="Arial"/>
          <w:sz w:val="24"/>
          <w:szCs w:val="24"/>
          <w:lang w:eastAsia="en-US"/>
        </w:rPr>
        <w:t xml:space="preserve"> </w:t>
      </w:r>
      <w:r w:rsidRPr="00B67E63">
        <w:rPr>
          <w:rFonts w:ascii="Arial" w:hAnsi="Arial" w:cs="Arial"/>
          <w:sz w:val="24"/>
          <w:szCs w:val="24"/>
          <w:lang w:eastAsia="en-US"/>
        </w:rPr>
        <w:t xml:space="preserve">tem é um excessivo e </w:t>
      </w:r>
      <w:proofErr w:type="spellStart"/>
      <w:r w:rsidRPr="00B67E63">
        <w:rPr>
          <w:rFonts w:ascii="Arial" w:hAnsi="Arial" w:cs="Arial"/>
          <w:sz w:val="24"/>
          <w:szCs w:val="24"/>
          <w:lang w:eastAsia="en-US"/>
        </w:rPr>
        <w:t>irrazoável</w:t>
      </w:r>
      <w:proofErr w:type="spellEnd"/>
      <w:r w:rsidRPr="00B67E63">
        <w:rPr>
          <w:rFonts w:ascii="Arial" w:hAnsi="Arial" w:cs="Arial"/>
          <w:sz w:val="24"/>
          <w:szCs w:val="24"/>
          <w:lang w:eastAsia="en-US"/>
        </w:rPr>
        <w:t xml:space="preserve"> rigor procedimental no processo de </w:t>
      </w:r>
      <w:proofErr w:type="spellStart"/>
      <w:r w:rsidRPr="00B67E63">
        <w:rPr>
          <w:rFonts w:ascii="Arial" w:hAnsi="Arial" w:cs="Arial"/>
          <w:sz w:val="24"/>
          <w:szCs w:val="24"/>
          <w:lang w:eastAsia="en-US"/>
        </w:rPr>
        <w:t>sancionamento</w:t>
      </w:r>
      <w:proofErr w:type="spellEnd"/>
      <w:r w:rsidRPr="00B67E63">
        <w:rPr>
          <w:rFonts w:ascii="Arial" w:hAnsi="Arial" w:cs="Arial"/>
          <w:sz w:val="24"/>
          <w:szCs w:val="24"/>
          <w:lang w:eastAsia="en-US"/>
        </w:rPr>
        <w:t xml:space="preserve"> por atos de</w:t>
      </w:r>
      <w:r>
        <w:rPr>
          <w:rFonts w:ascii="Arial" w:hAnsi="Arial" w:cs="Arial"/>
          <w:sz w:val="24"/>
          <w:szCs w:val="24"/>
          <w:lang w:eastAsia="en-US"/>
        </w:rPr>
        <w:t xml:space="preserve"> </w:t>
      </w:r>
      <w:r w:rsidRPr="00B67E63">
        <w:rPr>
          <w:rFonts w:ascii="Arial" w:hAnsi="Arial" w:cs="Arial"/>
          <w:sz w:val="24"/>
          <w:szCs w:val="24"/>
          <w:lang w:eastAsia="en-US"/>
        </w:rPr>
        <w:t>improbidade administrativa, ao passo que o processo penal – o qual tutela bem jurídico ainda mais</w:t>
      </w:r>
      <w:r>
        <w:rPr>
          <w:rFonts w:ascii="Arial" w:hAnsi="Arial" w:cs="Arial"/>
          <w:sz w:val="24"/>
          <w:szCs w:val="24"/>
          <w:lang w:eastAsia="en-US"/>
        </w:rPr>
        <w:t xml:space="preserve"> </w:t>
      </w:r>
      <w:r w:rsidRPr="00B67E63">
        <w:rPr>
          <w:rFonts w:ascii="Arial" w:hAnsi="Arial" w:cs="Arial"/>
          <w:sz w:val="24"/>
          <w:szCs w:val="24"/>
          <w:lang w:eastAsia="en-US"/>
        </w:rPr>
        <w:t>importante para o indivíduo (a liberdade) – tornou-se mais ágil do que o processo civil</w:t>
      </w:r>
      <w:r>
        <w:rPr>
          <w:rFonts w:ascii="Arial" w:hAnsi="Arial" w:cs="Arial"/>
          <w:sz w:val="24"/>
          <w:szCs w:val="24"/>
          <w:lang w:eastAsia="en-US"/>
        </w:rPr>
        <w:t xml:space="preserve"> </w:t>
      </w:r>
      <w:r w:rsidRPr="00B67E63">
        <w:rPr>
          <w:rFonts w:ascii="Arial" w:hAnsi="Arial" w:cs="Arial"/>
          <w:sz w:val="24"/>
          <w:szCs w:val="24"/>
          <w:lang w:eastAsia="en-US"/>
        </w:rPr>
        <w:t>correspondente (ao menos no que se refere à tramitação das ações penais em primeiro grau de</w:t>
      </w:r>
      <w:r>
        <w:rPr>
          <w:rFonts w:ascii="Arial" w:hAnsi="Arial" w:cs="Arial"/>
          <w:sz w:val="24"/>
          <w:szCs w:val="24"/>
          <w:lang w:eastAsia="en-US"/>
        </w:rPr>
        <w:t xml:space="preserve"> </w:t>
      </w:r>
      <w:r w:rsidRPr="00B67E63">
        <w:rPr>
          <w:rFonts w:ascii="Arial" w:hAnsi="Arial" w:cs="Arial"/>
          <w:sz w:val="24"/>
          <w:szCs w:val="24"/>
          <w:lang w:eastAsia="en-US"/>
        </w:rPr>
        <w:t>jurisdição).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 morosidade na tramitação das ações de improbidade administrativa é nefasta a ponto de</w:t>
      </w:r>
      <w:r>
        <w:rPr>
          <w:rFonts w:ascii="Arial" w:hAnsi="Arial" w:cs="Arial"/>
          <w:sz w:val="24"/>
          <w:szCs w:val="24"/>
          <w:lang w:eastAsia="en-US"/>
        </w:rPr>
        <w:t xml:space="preserve"> </w:t>
      </w:r>
      <w:r w:rsidRPr="00B67E63">
        <w:rPr>
          <w:rFonts w:ascii="Arial" w:hAnsi="Arial" w:cs="Arial"/>
          <w:sz w:val="24"/>
          <w:szCs w:val="24"/>
          <w:lang w:eastAsia="en-US"/>
        </w:rPr>
        <w:t>o Conselho Nacional de Justiça (CNJ), órgão de controle externo do Poder Judiciário, estabelecer a</w:t>
      </w:r>
      <w:r>
        <w:rPr>
          <w:rFonts w:ascii="Arial" w:hAnsi="Arial" w:cs="Arial"/>
          <w:sz w:val="24"/>
          <w:szCs w:val="24"/>
          <w:lang w:eastAsia="en-US"/>
        </w:rPr>
        <w:t xml:space="preserve"> </w:t>
      </w:r>
      <w:r w:rsidRPr="00B67E63">
        <w:rPr>
          <w:rFonts w:ascii="Arial" w:hAnsi="Arial" w:cs="Arial"/>
          <w:sz w:val="24"/>
          <w:szCs w:val="24"/>
          <w:lang w:eastAsia="en-US"/>
        </w:rPr>
        <w:t>meta das Justiças Estadual, Federal e Militar, além do Superior Tribunal de Justiça, para “identificar</w:t>
      </w:r>
      <w:r>
        <w:rPr>
          <w:rFonts w:ascii="Arial" w:hAnsi="Arial" w:cs="Arial"/>
          <w:sz w:val="24"/>
          <w:szCs w:val="24"/>
          <w:lang w:eastAsia="en-US"/>
        </w:rPr>
        <w:t xml:space="preserve"> </w:t>
      </w:r>
      <w:r w:rsidRPr="00B67E63">
        <w:rPr>
          <w:rFonts w:ascii="Arial" w:hAnsi="Arial" w:cs="Arial"/>
          <w:sz w:val="24"/>
          <w:szCs w:val="24"/>
          <w:lang w:eastAsia="en-US"/>
        </w:rPr>
        <w:t>e julgar, até 31/12/2013, as ações de improbidade administrativa e ações penais relacionadas a</w:t>
      </w:r>
      <w:r>
        <w:rPr>
          <w:rFonts w:ascii="Arial" w:hAnsi="Arial" w:cs="Arial"/>
          <w:sz w:val="24"/>
          <w:szCs w:val="24"/>
          <w:lang w:eastAsia="en-US"/>
        </w:rPr>
        <w:t xml:space="preserve"> </w:t>
      </w:r>
      <w:r w:rsidRPr="00B67E63">
        <w:rPr>
          <w:rFonts w:ascii="Arial" w:hAnsi="Arial" w:cs="Arial"/>
          <w:sz w:val="24"/>
          <w:szCs w:val="24"/>
          <w:lang w:eastAsia="en-US"/>
        </w:rPr>
        <w:t>crimes contra a administração pública distribuídas até 31/12/2011” (Meta 18, de 2013).</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No entanto, as metas estabelecidas pelo CNJ ficaram longe de alcançar o efeito desejado.</w:t>
      </w:r>
      <w:r>
        <w:rPr>
          <w:rFonts w:ascii="Arial" w:hAnsi="Arial" w:cs="Arial"/>
          <w:sz w:val="24"/>
          <w:szCs w:val="24"/>
          <w:lang w:eastAsia="en-US"/>
        </w:rPr>
        <w:t xml:space="preserve"> </w:t>
      </w:r>
      <w:r w:rsidRPr="00B67E63">
        <w:rPr>
          <w:rFonts w:ascii="Arial" w:hAnsi="Arial" w:cs="Arial"/>
          <w:sz w:val="24"/>
          <w:szCs w:val="24"/>
          <w:lang w:eastAsia="en-US"/>
        </w:rPr>
        <w:t>Mesmo com os esforços concentrados realizados por juízes, pelo país afora, o Relatório de Metas</w:t>
      </w:r>
      <w:r>
        <w:rPr>
          <w:rFonts w:ascii="Arial" w:hAnsi="Arial" w:cs="Arial"/>
          <w:sz w:val="24"/>
          <w:szCs w:val="24"/>
          <w:lang w:eastAsia="en-US"/>
        </w:rPr>
        <w:t xml:space="preserve"> </w:t>
      </w:r>
      <w:r w:rsidRPr="00B67E63">
        <w:rPr>
          <w:rFonts w:ascii="Arial" w:hAnsi="Arial" w:cs="Arial"/>
          <w:sz w:val="24"/>
          <w:szCs w:val="24"/>
          <w:lang w:eastAsia="en-US"/>
        </w:rPr>
        <w:t xml:space="preserve">Nacionais do Poder Judiciário 2009-2013 revelou que </w:t>
      </w:r>
      <w:r w:rsidRPr="00B67E63">
        <w:rPr>
          <w:rFonts w:ascii="Arial" w:hAnsi="Arial" w:cs="Arial"/>
          <w:i/>
          <w:iCs/>
          <w:sz w:val="24"/>
          <w:szCs w:val="24"/>
          <w:lang w:eastAsia="en-US"/>
        </w:rPr>
        <w:t>nenhum Tribunal do país logrou alcançar a</w:t>
      </w:r>
      <w:r>
        <w:rPr>
          <w:rFonts w:ascii="Arial" w:hAnsi="Arial" w:cs="Arial"/>
          <w:i/>
          <w:iCs/>
          <w:sz w:val="24"/>
          <w:szCs w:val="24"/>
          <w:lang w:eastAsia="en-US"/>
        </w:rPr>
        <w:t xml:space="preserve"> </w:t>
      </w:r>
      <w:r w:rsidRPr="00B67E63">
        <w:rPr>
          <w:rFonts w:ascii="Arial" w:hAnsi="Arial" w:cs="Arial"/>
          <w:i/>
          <w:iCs/>
          <w:sz w:val="24"/>
          <w:szCs w:val="24"/>
          <w:lang w:eastAsia="en-US"/>
        </w:rPr>
        <w:t>meta</w:t>
      </w:r>
      <w:r w:rsidRPr="00B67E63">
        <w:rPr>
          <w:rFonts w:ascii="Arial" w:hAnsi="Arial" w:cs="Arial"/>
          <w:sz w:val="24"/>
          <w:szCs w:val="24"/>
          <w:lang w:eastAsia="en-US"/>
        </w:rPr>
        <w:t>. Segundo as informações prestadas pelos Tribunais, até 31 de dezembro de 2011, havia, no</w:t>
      </w:r>
      <w:r>
        <w:rPr>
          <w:rFonts w:ascii="Arial" w:hAnsi="Arial" w:cs="Arial"/>
          <w:sz w:val="24"/>
          <w:szCs w:val="24"/>
          <w:lang w:eastAsia="en-US"/>
        </w:rPr>
        <w:t xml:space="preserve"> </w:t>
      </w:r>
      <w:r w:rsidRPr="00B67E63">
        <w:rPr>
          <w:rFonts w:ascii="Arial" w:hAnsi="Arial" w:cs="Arial"/>
          <w:sz w:val="24"/>
          <w:szCs w:val="24"/>
          <w:lang w:eastAsia="en-US"/>
        </w:rPr>
        <w:t>Poder Judiciário, um estoque de 43.773 ações de improbidade distribuídas e não julgadas. Mesmo</w:t>
      </w:r>
      <w:r>
        <w:rPr>
          <w:rFonts w:ascii="Arial" w:hAnsi="Arial" w:cs="Arial"/>
          <w:sz w:val="24"/>
          <w:szCs w:val="24"/>
          <w:lang w:eastAsia="en-US"/>
        </w:rPr>
        <w:t xml:space="preserve"> </w:t>
      </w:r>
      <w:r w:rsidRPr="00B67E63">
        <w:rPr>
          <w:rFonts w:ascii="Arial" w:hAnsi="Arial" w:cs="Arial"/>
          <w:sz w:val="24"/>
          <w:szCs w:val="24"/>
          <w:lang w:eastAsia="en-US"/>
        </w:rPr>
        <w:t>com os esforços impostos pela Meta 18, de tais ações somente 10.643 foram julgadas no ano de</w:t>
      </w:r>
      <w:r>
        <w:rPr>
          <w:rFonts w:ascii="Arial" w:hAnsi="Arial" w:cs="Arial"/>
          <w:sz w:val="24"/>
          <w:szCs w:val="24"/>
          <w:lang w:eastAsia="en-US"/>
        </w:rPr>
        <w:t xml:space="preserve"> </w:t>
      </w:r>
      <w:r w:rsidRPr="00B67E63">
        <w:rPr>
          <w:rFonts w:ascii="Arial" w:hAnsi="Arial" w:cs="Arial"/>
          <w:sz w:val="24"/>
          <w:szCs w:val="24"/>
          <w:lang w:eastAsia="en-US"/>
        </w:rPr>
        <w:t>2012, e apenas outras 9.864 no ano de 2013.</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Vê-se, portanto, que o problema da morosidade na tramitação dessas ações não será</w:t>
      </w:r>
      <w:r>
        <w:rPr>
          <w:rFonts w:ascii="Arial" w:hAnsi="Arial" w:cs="Arial"/>
          <w:sz w:val="24"/>
          <w:szCs w:val="24"/>
          <w:lang w:eastAsia="en-US"/>
        </w:rPr>
        <w:t xml:space="preserve"> </w:t>
      </w:r>
      <w:r w:rsidRPr="00B67E63">
        <w:rPr>
          <w:rFonts w:ascii="Arial" w:hAnsi="Arial" w:cs="Arial"/>
          <w:sz w:val="24"/>
          <w:szCs w:val="24"/>
          <w:lang w:eastAsia="en-US"/>
        </w:rPr>
        <w:t xml:space="preserve">resolvido apenas com esforços concentrados e priorização de </w:t>
      </w:r>
      <w:proofErr w:type="gramStart"/>
      <w:r w:rsidRPr="00B67E63">
        <w:rPr>
          <w:rFonts w:ascii="Arial" w:hAnsi="Arial" w:cs="Arial"/>
          <w:sz w:val="24"/>
          <w:szCs w:val="24"/>
          <w:lang w:eastAsia="en-US"/>
        </w:rPr>
        <w:t>julgamentos</w:t>
      </w:r>
      <w:proofErr w:type="gramEnd"/>
      <w:r w:rsidRPr="00B67E63">
        <w:rPr>
          <w:rFonts w:ascii="Arial" w:hAnsi="Arial" w:cs="Arial"/>
          <w:sz w:val="24"/>
          <w:szCs w:val="24"/>
          <w:lang w:eastAsia="en-US"/>
        </w:rPr>
        <w:t>. Para tanto, é necessário</w:t>
      </w:r>
      <w:r>
        <w:rPr>
          <w:rFonts w:ascii="Arial" w:hAnsi="Arial" w:cs="Arial"/>
          <w:sz w:val="24"/>
          <w:szCs w:val="24"/>
          <w:lang w:eastAsia="en-US"/>
        </w:rPr>
        <w:t xml:space="preserve"> </w:t>
      </w:r>
      <w:r w:rsidRPr="00B67E63">
        <w:rPr>
          <w:rFonts w:ascii="Arial" w:hAnsi="Arial" w:cs="Arial"/>
          <w:sz w:val="24"/>
          <w:szCs w:val="24"/>
          <w:lang w:eastAsia="en-US"/>
        </w:rPr>
        <w:t>identificar os fatores que realmente influenciam na dificuldade de tramitação desses processos, bem</w:t>
      </w:r>
      <w:r>
        <w:rPr>
          <w:rFonts w:ascii="Arial" w:hAnsi="Arial" w:cs="Arial"/>
          <w:sz w:val="24"/>
          <w:szCs w:val="24"/>
          <w:lang w:eastAsia="en-US"/>
        </w:rPr>
        <w:t xml:space="preserve"> </w:t>
      </w:r>
      <w:r w:rsidRPr="00B67E63">
        <w:rPr>
          <w:rFonts w:ascii="Arial" w:hAnsi="Arial" w:cs="Arial"/>
          <w:sz w:val="24"/>
          <w:szCs w:val="24"/>
          <w:lang w:eastAsia="en-US"/>
        </w:rPr>
        <w:t>como criar meios para destravá-los.</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O primeiro obstáculo procedimental à celeridade das ações de improbidade administrativa</w:t>
      </w:r>
      <w:r w:rsidR="00CC3F81">
        <w:rPr>
          <w:rFonts w:ascii="Arial" w:hAnsi="Arial" w:cs="Arial"/>
          <w:sz w:val="24"/>
          <w:szCs w:val="24"/>
          <w:lang w:eastAsia="en-US"/>
        </w:rPr>
        <w:t xml:space="preserve"> </w:t>
      </w:r>
      <w:r w:rsidRPr="00B67E63">
        <w:rPr>
          <w:rFonts w:ascii="Arial" w:hAnsi="Arial" w:cs="Arial"/>
          <w:sz w:val="24"/>
          <w:szCs w:val="24"/>
          <w:lang w:eastAsia="en-US"/>
        </w:rPr>
        <w:t>é, sem dúvida, a fase de notificação preliminar e recebimento da ação, antes mesmo da citação do</w:t>
      </w:r>
      <w:r w:rsidR="00CC3F81">
        <w:rPr>
          <w:rFonts w:ascii="Arial" w:hAnsi="Arial" w:cs="Arial"/>
          <w:sz w:val="24"/>
          <w:szCs w:val="24"/>
          <w:lang w:eastAsia="en-US"/>
        </w:rPr>
        <w:t xml:space="preserve"> </w:t>
      </w:r>
      <w:r w:rsidRPr="00B67E63">
        <w:rPr>
          <w:rFonts w:ascii="Arial" w:hAnsi="Arial" w:cs="Arial"/>
          <w:sz w:val="24"/>
          <w:szCs w:val="24"/>
          <w:lang w:eastAsia="en-US"/>
        </w:rPr>
        <w:t>réu.</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Dito procedimento, criado pela Medida Provisória nº 2.225-45, de 2001, tinha a intenção</w:t>
      </w:r>
      <w:r w:rsidR="00CC3F81">
        <w:rPr>
          <w:rFonts w:ascii="Arial" w:hAnsi="Arial" w:cs="Arial"/>
          <w:sz w:val="24"/>
          <w:szCs w:val="24"/>
          <w:lang w:eastAsia="en-US"/>
        </w:rPr>
        <w:t xml:space="preserve"> </w:t>
      </w:r>
      <w:r w:rsidRPr="00B67E63">
        <w:rPr>
          <w:rFonts w:ascii="Arial" w:hAnsi="Arial" w:cs="Arial"/>
          <w:sz w:val="24"/>
          <w:szCs w:val="24"/>
          <w:lang w:eastAsia="en-US"/>
        </w:rPr>
        <w:t>declarada de possibilitar um contraditório prévio, a fim de evitar a tramitação de ações consideradas</w:t>
      </w:r>
      <w:r w:rsidR="00CC3F81">
        <w:rPr>
          <w:rFonts w:ascii="Arial" w:hAnsi="Arial" w:cs="Arial"/>
          <w:sz w:val="24"/>
          <w:szCs w:val="24"/>
          <w:lang w:eastAsia="en-US"/>
        </w:rPr>
        <w:t xml:space="preserve"> </w:t>
      </w:r>
      <w:r w:rsidRPr="00B67E63">
        <w:rPr>
          <w:rFonts w:ascii="Arial" w:hAnsi="Arial" w:cs="Arial"/>
          <w:sz w:val="24"/>
          <w:szCs w:val="24"/>
          <w:lang w:eastAsia="en-US"/>
        </w:rPr>
        <w:t>temerárias. Assim, pretendia-se conferir ao julgador a oportunidade de, antes mesmo de admitir ou</w:t>
      </w:r>
      <w:r w:rsidR="00CC3F81">
        <w:rPr>
          <w:rFonts w:ascii="Arial" w:hAnsi="Arial" w:cs="Arial"/>
          <w:sz w:val="24"/>
          <w:szCs w:val="24"/>
          <w:lang w:eastAsia="en-US"/>
        </w:rPr>
        <w:t xml:space="preserve"> </w:t>
      </w:r>
      <w:r w:rsidRPr="00B67E63">
        <w:rPr>
          <w:rFonts w:ascii="Arial" w:hAnsi="Arial" w:cs="Arial"/>
          <w:sz w:val="24"/>
          <w:szCs w:val="24"/>
          <w:lang w:eastAsia="en-US"/>
        </w:rPr>
        <w:t>não a tramitação do processo, conhecer os argumentos de defesa do réu e deliberar pelo não</w:t>
      </w:r>
      <w:r w:rsidR="00CC3F81">
        <w:rPr>
          <w:rFonts w:ascii="Arial" w:hAnsi="Arial" w:cs="Arial"/>
          <w:sz w:val="24"/>
          <w:szCs w:val="24"/>
          <w:lang w:eastAsia="en-US"/>
        </w:rPr>
        <w:t xml:space="preserve"> </w:t>
      </w:r>
      <w:r w:rsidRPr="00B67E63">
        <w:rPr>
          <w:rFonts w:ascii="Arial" w:hAnsi="Arial" w:cs="Arial"/>
          <w:sz w:val="24"/>
          <w:szCs w:val="24"/>
          <w:lang w:eastAsia="en-US"/>
        </w:rPr>
        <w:t>recebimento da ação, quando convencido liminarmente da inexistência do ato de improbidade, da</w:t>
      </w:r>
      <w:r w:rsidR="00CC3F81">
        <w:rPr>
          <w:rFonts w:ascii="Arial" w:hAnsi="Arial" w:cs="Arial"/>
          <w:sz w:val="24"/>
          <w:szCs w:val="24"/>
          <w:lang w:eastAsia="en-US"/>
        </w:rPr>
        <w:t xml:space="preserve"> </w:t>
      </w:r>
      <w:r w:rsidRPr="00B67E63">
        <w:rPr>
          <w:rFonts w:ascii="Arial" w:hAnsi="Arial" w:cs="Arial"/>
          <w:sz w:val="24"/>
          <w:szCs w:val="24"/>
          <w:lang w:eastAsia="en-US"/>
        </w:rPr>
        <w:t>improcedência da ação ou da inadequação da via eleita.</w:t>
      </w:r>
    </w:p>
    <w:p w:rsidR="00B43877" w:rsidRDefault="00B43877" w:rsidP="00B67E63">
      <w:pPr>
        <w:autoSpaceDE w:val="0"/>
        <w:autoSpaceDN w:val="0"/>
        <w:adjustRightInd w:val="0"/>
        <w:spacing w:after="0" w:line="240" w:lineRule="auto"/>
        <w:ind w:firstLine="709"/>
        <w:jc w:val="both"/>
        <w:rPr>
          <w:rFonts w:ascii="Arial" w:hAnsi="Arial" w:cs="Arial"/>
          <w:sz w:val="24"/>
          <w:szCs w:val="24"/>
          <w:lang w:eastAsia="en-US"/>
        </w:rPr>
      </w:pP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Ocorre, desafortunadamente, que a MP nº 2.225/2001 acabou por criar a necessidade de</w:t>
      </w:r>
      <w:r w:rsidR="00CC3F81">
        <w:rPr>
          <w:rFonts w:ascii="Arial" w:hAnsi="Arial" w:cs="Arial"/>
          <w:sz w:val="24"/>
          <w:szCs w:val="24"/>
          <w:lang w:eastAsia="en-US"/>
        </w:rPr>
        <w:t xml:space="preserve"> </w:t>
      </w:r>
      <w:r w:rsidRPr="00B67E63">
        <w:rPr>
          <w:rFonts w:ascii="Arial" w:hAnsi="Arial" w:cs="Arial"/>
          <w:sz w:val="24"/>
          <w:szCs w:val="24"/>
          <w:lang w:eastAsia="en-US"/>
        </w:rPr>
        <w:t>uma dupla notificação/citação do réu já que, após a notificação preliminar e a decisão sobre o</w:t>
      </w:r>
      <w:r w:rsidR="00CC3F81">
        <w:rPr>
          <w:rFonts w:ascii="Arial" w:hAnsi="Arial" w:cs="Arial"/>
          <w:sz w:val="24"/>
          <w:szCs w:val="24"/>
          <w:lang w:eastAsia="en-US"/>
        </w:rPr>
        <w:t xml:space="preserve"> </w:t>
      </w:r>
      <w:r w:rsidRPr="00B67E63">
        <w:rPr>
          <w:rFonts w:ascii="Arial" w:hAnsi="Arial" w:cs="Arial"/>
          <w:sz w:val="24"/>
          <w:szCs w:val="24"/>
          <w:lang w:eastAsia="en-US"/>
        </w:rPr>
        <w:t>recebimento da ação, ainda se faz necessária a citação pessoal do réu.</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Na prática, isso implica que o réu deverá ser intimado pess</w:t>
      </w:r>
      <w:r w:rsidR="00CC3F81">
        <w:rPr>
          <w:rFonts w:ascii="Arial" w:hAnsi="Arial" w:cs="Arial"/>
          <w:sz w:val="24"/>
          <w:szCs w:val="24"/>
          <w:lang w:eastAsia="en-US"/>
        </w:rPr>
        <w:t xml:space="preserve">oalmente duas vezes: a primeira </w:t>
      </w:r>
      <w:r w:rsidRPr="00B67E63">
        <w:rPr>
          <w:rFonts w:ascii="Arial" w:hAnsi="Arial" w:cs="Arial"/>
          <w:sz w:val="24"/>
          <w:szCs w:val="24"/>
          <w:lang w:eastAsia="en-US"/>
        </w:rPr>
        <w:t>para se manifestar sobre os termos da ação, e a segunda, para contestá-la. Não há, entretanto,</w:t>
      </w:r>
      <w:r w:rsidR="00CC3F81">
        <w:rPr>
          <w:rFonts w:ascii="Arial" w:hAnsi="Arial" w:cs="Arial"/>
          <w:sz w:val="24"/>
          <w:szCs w:val="24"/>
          <w:lang w:eastAsia="en-US"/>
        </w:rPr>
        <w:t xml:space="preserve"> </w:t>
      </w:r>
      <w:r w:rsidRPr="00B67E63">
        <w:rPr>
          <w:rFonts w:ascii="Arial" w:hAnsi="Arial" w:cs="Arial"/>
          <w:sz w:val="24"/>
          <w:szCs w:val="24"/>
          <w:lang w:eastAsia="en-US"/>
        </w:rPr>
        <w:t>diferença substancial entre as defesas da primeira notificação e da segunda citação; em regra, há a</w:t>
      </w:r>
      <w:r w:rsidR="00CC3F81">
        <w:rPr>
          <w:rFonts w:ascii="Arial" w:hAnsi="Arial" w:cs="Arial"/>
          <w:sz w:val="24"/>
          <w:szCs w:val="24"/>
          <w:lang w:eastAsia="en-US"/>
        </w:rPr>
        <w:t xml:space="preserve"> </w:t>
      </w:r>
      <w:r w:rsidRPr="00B67E63">
        <w:rPr>
          <w:rFonts w:ascii="Arial" w:hAnsi="Arial" w:cs="Arial"/>
          <w:sz w:val="24"/>
          <w:szCs w:val="24"/>
          <w:lang w:eastAsia="en-US"/>
        </w:rPr>
        <w:t>mera repetição da peça uma vez que o réu pode, já na manifestação prelim</w:t>
      </w:r>
      <w:r w:rsidR="00CC3F81">
        <w:rPr>
          <w:rFonts w:ascii="Arial" w:hAnsi="Arial" w:cs="Arial"/>
          <w:sz w:val="24"/>
          <w:szCs w:val="24"/>
          <w:lang w:eastAsia="en-US"/>
        </w:rPr>
        <w:t>i</w:t>
      </w:r>
      <w:r w:rsidRPr="00B67E63">
        <w:rPr>
          <w:rFonts w:ascii="Arial" w:hAnsi="Arial" w:cs="Arial"/>
          <w:sz w:val="24"/>
          <w:szCs w:val="24"/>
          <w:lang w:eastAsia="en-US"/>
        </w:rPr>
        <w:t>nar, apresentar toda a</w:t>
      </w:r>
      <w:r w:rsidR="00CC3F81">
        <w:rPr>
          <w:rFonts w:ascii="Arial" w:hAnsi="Arial" w:cs="Arial"/>
          <w:sz w:val="24"/>
          <w:szCs w:val="24"/>
          <w:lang w:eastAsia="en-US"/>
        </w:rPr>
        <w:t xml:space="preserve"> </w:t>
      </w:r>
      <w:r w:rsidRPr="00B67E63">
        <w:rPr>
          <w:rFonts w:ascii="Arial" w:hAnsi="Arial" w:cs="Arial"/>
          <w:sz w:val="24"/>
          <w:szCs w:val="24"/>
          <w:lang w:eastAsia="en-US"/>
        </w:rPr>
        <w:t>matéria de defesa fato e de direito, na tentativa de convencer o julgador a rejeitar liminarmente a</w:t>
      </w:r>
      <w:r w:rsidR="00CC3F81">
        <w:rPr>
          <w:rFonts w:ascii="Arial" w:hAnsi="Arial" w:cs="Arial"/>
          <w:sz w:val="24"/>
          <w:szCs w:val="24"/>
          <w:lang w:eastAsia="en-US"/>
        </w:rPr>
        <w:t xml:space="preserve"> </w:t>
      </w:r>
      <w:r w:rsidRPr="00B67E63">
        <w:rPr>
          <w:rFonts w:ascii="Arial" w:hAnsi="Arial" w:cs="Arial"/>
          <w:sz w:val="24"/>
          <w:szCs w:val="24"/>
          <w:lang w:eastAsia="en-US"/>
        </w:rPr>
        <w:t>ação.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lastRenderedPageBreak/>
        <w:t>Esse procedimento esdrúxulo constitui verdadeiro obstáculo à celeridade na tramitação das</w:t>
      </w:r>
      <w:r w:rsidR="00CC3F81">
        <w:rPr>
          <w:rFonts w:ascii="Arial" w:hAnsi="Arial" w:cs="Arial"/>
          <w:sz w:val="24"/>
          <w:szCs w:val="24"/>
          <w:lang w:eastAsia="en-US"/>
        </w:rPr>
        <w:t xml:space="preserve"> </w:t>
      </w:r>
      <w:r w:rsidRPr="00B67E63">
        <w:rPr>
          <w:rFonts w:ascii="Arial" w:hAnsi="Arial" w:cs="Arial"/>
          <w:sz w:val="24"/>
          <w:szCs w:val="24"/>
          <w:lang w:eastAsia="en-US"/>
        </w:rPr>
        <w:t>ações de improbidade administrativa porque os dois atos – notificação preliminar e citação – devem</w:t>
      </w:r>
      <w:r w:rsidR="00CC3F81">
        <w:rPr>
          <w:rFonts w:ascii="Arial" w:hAnsi="Arial" w:cs="Arial"/>
          <w:sz w:val="24"/>
          <w:szCs w:val="24"/>
          <w:lang w:eastAsia="en-US"/>
        </w:rPr>
        <w:t xml:space="preserve"> </w:t>
      </w:r>
      <w:r w:rsidRPr="00B67E63">
        <w:rPr>
          <w:rFonts w:ascii="Arial" w:hAnsi="Arial" w:cs="Arial"/>
          <w:sz w:val="24"/>
          <w:szCs w:val="24"/>
          <w:lang w:eastAsia="en-US"/>
        </w:rPr>
        <w:t>ser dirigidos à pessoa do réu, não se podendo sequer fazê-lo pelo advogado constituído. É comum</w:t>
      </w:r>
      <w:r w:rsidR="00CC3F81">
        <w:rPr>
          <w:rFonts w:ascii="Arial" w:hAnsi="Arial" w:cs="Arial"/>
          <w:sz w:val="24"/>
          <w:szCs w:val="24"/>
          <w:lang w:eastAsia="en-US"/>
        </w:rPr>
        <w:t xml:space="preserve"> </w:t>
      </w:r>
      <w:r w:rsidRPr="00B67E63">
        <w:rPr>
          <w:rFonts w:ascii="Arial" w:hAnsi="Arial" w:cs="Arial"/>
          <w:sz w:val="24"/>
          <w:szCs w:val="24"/>
          <w:lang w:eastAsia="en-US"/>
        </w:rPr>
        <w:t>que, após diversas tentativas de localizar o réu para receber a notificação para manifestação</w:t>
      </w:r>
      <w:r w:rsidR="00CC3F81">
        <w:rPr>
          <w:rFonts w:ascii="Arial" w:hAnsi="Arial" w:cs="Arial"/>
          <w:sz w:val="24"/>
          <w:szCs w:val="24"/>
          <w:lang w:eastAsia="en-US"/>
        </w:rPr>
        <w:t xml:space="preserve"> </w:t>
      </w:r>
      <w:r w:rsidRPr="00B67E63">
        <w:rPr>
          <w:rFonts w:ascii="Arial" w:hAnsi="Arial" w:cs="Arial"/>
          <w:sz w:val="24"/>
          <w:szCs w:val="24"/>
          <w:lang w:eastAsia="en-US"/>
        </w:rPr>
        <w:t>preliminar, tais tentativas tenham que ser refeitas após o recebimento da ação, apenas para que o réu</w:t>
      </w:r>
      <w:r w:rsidR="00CC3F81">
        <w:rPr>
          <w:rFonts w:ascii="Arial" w:hAnsi="Arial" w:cs="Arial"/>
          <w:sz w:val="24"/>
          <w:szCs w:val="24"/>
          <w:lang w:eastAsia="en-US"/>
        </w:rPr>
        <w:t xml:space="preserve"> </w:t>
      </w:r>
      <w:r w:rsidRPr="00B67E63">
        <w:rPr>
          <w:rFonts w:ascii="Arial" w:hAnsi="Arial" w:cs="Arial"/>
          <w:sz w:val="24"/>
          <w:szCs w:val="24"/>
          <w:lang w:eastAsia="en-US"/>
        </w:rPr>
        <w:t>possa ser agora citado pessoalmente.</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 situação é agravada quando há diversos réus na ação, já que o recebimento da inicial</w:t>
      </w:r>
      <w:r w:rsidR="00CC3F81">
        <w:rPr>
          <w:rFonts w:ascii="Arial" w:hAnsi="Arial" w:cs="Arial"/>
          <w:sz w:val="24"/>
          <w:szCs w:val="24"/>
          <w:lang w:eastAsia="en-US"/>
        </w:rPr>
        <w:t xml:space="preserve"> </w:t>
      </w:r>
      <w:r w:rsidRPr="00B67E63">
        <w:rPr>
          <w:rFonts w:ascii="Arial" w:hAnsi="Arial" w:cs="Arial"/>
          <w:sz w:val="24"/>
          <w:szCs w:val="24"/>
          <w:lang w:eastAsia="en-US"/>
        </w:rPr>
        <w:t>somente poderá ocorrer após a notificação preliminar de todos eles. Muitas vezes, a citação somente</w:t>
      </w:r>
      <w:r w:rsidR="00CC3F81">
        <w:rPr>
          <w:rFonts w:ascii="Arial" w:hAnsi="Arial" w:cs="Arial"/>
          <w:sz w:val="24"/>
          <w:szCs w:val="24"/>
          <w:lang w:eastAsia="en-US"/>
        </w:rPr>
        <w:t xml:space="preserve"> </w:t>
      </w:r>
      <w:r w:rsidRPr="00B67E63">
        <w:rPr>
          <w:rFonts w:ascii="Arial" w:hAnsi="Arial" w:cs="Arial"/>
          <w:sz w:val="24"/>
          <w:szCs w:val="24"/>
          <w:lang w:eastAsia="en-US"/>
        </w:rPr>
        <w:t>vem a ocorrer anos após a primeira notificação, quando o réu já mudou seu endereço.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Ainda deve-se levar em consideração que, no governo federal e nos governos estaduais, é</w:t>
      </w:r>
      <w:r w:rsidR="00CC3F81">
        <w:rPr>
          <w:rFonts w:ascii="Arial" w:hAnsi="Arial" w:cs="Arial"/>
          <w:sz w:val="24"/>
          <w:szCs w:val="24"/>
          <w:lang w:eastAsia="en-US"/>
        </w:rPr>
        <w:t xml:space="preserve"> </w:t>
      </w:r>
      <w:r w:rsidRPr="00B67E63">
        <w:rPr>
          <w:rFonts w:ascii="Arial" w:hAnsi="Arial" w:cs="Arial"/>
          <w:sz w:val="24"/>
          <w:szCs w:val="24"/>
          <w:lang w:eastAsia="en-US"/>
        </w:rPr>
        <w:t>extremamente comum que os detentores de cargos de direção sejam requisitados de outros órgãos</w:t>
      </w:r>
      <w:r w:rsidR="00CC3F81">
        <w:rPr>
          <w:rFonts w:ascii="Arial" w:hAnsi="Arial" w:cs="Arial"/>
          <w:sz w:val="24"/>
          <w:szCs w:val="24"/>
          <w:lang w:eastAsia="en-US"/>
        </w:rPr>
        <w:t xml:space="preserve"> </w:t>
      </w:r>
      <w:r w:rsidRPr="00B67E63">
        <w:rPr>
          <w:rFonts w:ascii="Arial" w:hAnsi="Arial" w:cs="Arial"/>
          <w:sz w:val="24"/>
          <w:szCs w:val="24"/>
          <w:lang w:eastAsia="en-US"/>
        </w:rPr>
        <w:t>ou deslocados de outras lotações para o exercício daquele cargo, de forma que essas pessoas mudam</w:t>
      </w:r>
      <w:r w:rsidR="00CC3F81">
        <w:rPr>
          <w:rFonts w:ascii="Arial" w:hAnsi="Arial" w:cs="Arial"/>
          <w:sz w:val="24"/>
          <w:szCs w:val="24"/>
          <w:lang w:eastAsia="en-US"/>
        </w:rPr>
        <w:t xml:space="preserve"> </w:t>
      </w:r>
      <w:r w:rsidRPr="00B67E63">
        <w:rPr>
          <w:rFonts w:ascii="Arial" w:hAnsi="Arial" w:cs="Arial"/>
          <w:sz w:val="24"/>
          <w:szCs w:val="24"/>
          <w:lang w:eastAsia="en-US"/>
        </w:rPr>
        <w:t>de endereços constantemente. Com a necessidade de dupla notificação/citação, em regra não se</w:t>
      </w:r>
      <w:r w:rsidR="00CC3F81">
        <w:rPr>
          <w:rFonts w:ascii="Arial" w:hAnsi="Arial" w:cs="Arial"/>
          <w:sz w:val="24"/>
          <w:szCs w:val="24"/>
          <w:lang w:eastAsia="en-US"/>
        </w:rPr>
        <w:t xml:space="preserve"> </w:t>
      </w:r>
      <w:r w:rsidRPr="00B67E63">
        <w:rPr>
          <w:rFonts w:ascii="Arial" w:hAnsi="Arial" w:cs="Arial"/>
          <w:sz w:val="24"/>
          <w:szCs w:val="24"/>
          <w:lang w:eastAsia="en-US"/>
        </w:rPr>
        <w:t>logra localizar o réu no mesmo endereço da primeira notificação.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As consequências terríveis desse procedimento para a tramitação das ações de improbidade</w:t>
      </w:r>
      <w:r w:rsidR="00CC3F81">
        <w:rPr>
          <w:rFonts w:ascii="Arial" w:hAnsi="Arial" w:cs="Arial"/>
          <w:sz w:val="24"/>
          <w:szCs w:val="24"/>
          <w:lang w:eastAsia="en-US"/>
        </w:rPr>
        <w:t xml:space="preserve"> </w:t>
      </w:r>
      <w:r w:rsidRPr="00B67E63">
        <w:rPr>
          <w:rFonts w:ascii="Arial" w:hAnsi="Arial" w:cs="Arial"/>
          <w:sz w:val="24"/>
          <w:szCs w:val="24"/>
          <w:lang w:eastAsia="en-US"/>
        </w:rPr>
        <w:t>administrativa ficam ainda mais evidentes diante de casos concretos que demonstram a verdadeira</w:t>
      </w:r>
      <w:r w:rsidR="00CC3F81">
        <w:rPr>
          <w:rFonts w:ascii="Arial" w:hAnsi="Arial" w:cs="Arial"/>
          <w:sz w:val="24"/>
          <w:szCs w:val="24"/>
          <w:lang w:eastAsia="en-US"/>
        </w:rPr>
        <w:t xml:space="preserve"> </w:t>
      </w:r>
      <w:r w:rsidRPr="00B67E63">
        <w:rPr>
          <w:rFonts w:ascii="Arial" w:hAnsi="Arial" w:cs="Arial"/>
          <w:sz w:val="24"/>
          <w:szCs w:val="24"/>
          <w:lang w:eastAsia="en-US"/>
        </w:rPr>
        <w:t>paralisação dos processos em razão dessas dificuldades.</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Veja-se a ação de improbidade administrativa relacionada ao caso do Projeto Correio</w:t>
      </w:r>
      <w:r w:rsidR="00CC3F81">
        <w:rPr>
          <w:rFonts w:ascii="Arial" w:hAnsi="Arial" w:cs="Arial"/>
          <w:sz w:val="24"/>
          <w:szCs w:val="24"/>
          <w:lang w:eastAsia="en-US"/>
        </w:rPr>
        <w:t xml:space="preserve"> </w:t>
      </w:r>
      <w:r w:rsidRPr="00B67E63">
        <w:rPr>
          <w:rFonts w:ascii="Arial" w:hAnsi="Arial" w:cs="Arial"/>
          <w:sz w:val="24"/>
          <w:szCs w:val="24"/>
          <w:lang w:eastAsia="en-US"/>
        </w:rPr>
        <w:t>Híbrido Postal, um dos desdobramentos do famigerado esquema de fraudes nas licitações dos</w:t>
      </w:r>
      <w:r w:rsidR="00CC3F81">
        <w:rPr>
          <w:rFonts w:ascii="Arial" w:hAnsi="Arial" w:cs="Arial"/>
          <w:sz w:val="24"/>
          <w:szCs w:val="24"/>
          <w:lang w:eastAsia="en-US"/>
        </w:rPr>
        <w:t xml:space="preserve"> </w:t>
      </w:r>
      <w:r w:rsidRPr="00B67E63">
        <w:rPr>
          <w:rFonts w:ascii="Arial" w:hAnsi="Arial" w:cs="Arial"/>
          <w:sz w:val="24"/>
          <w:szCs w:val="24"/>
          <w:lang w:eastAsia="en-US"/>
        </w:rPr>
        <w:t>Correios, envolvendo, dentre outros, Maurício Marinho, que ganhou notoriedade nacional a partir</w:t>
      </w:r>
      <w:r w:rsidR="00CC3F81">
        <w:rPr>
          <w:rFonts w:ascii="Arial" w:hAnsi="Arial" w:cs="Arial"/>
          <w:sz w:val="24"/>
          <w:szCs w:val="24"/>
          <w:lang w:eastAsia="en-US"/>
        </w:rPr>
        <w:t xml:space="preserve"> </w:t>
      </w:r>
      <w:r w:rsidRPr="00B67E63">
        <w:rPr>
          <w:rFonts w:ascii="Arial" w:hAnsi="Arial" w:cs="Arial"/>
          <w:sz w:val="24"/>
          <w:szCs w:val="24"/>
          <w:lang w:eastAsia="en-US"/>
        </w:rPr>
        <w:t>da divulgação de registro de vídeo em que recebia propina.</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 ação, com sete réus, foi proposta em 29 de julho de 2010. A fase de notificação</w:t>
      </w:r>
      <w:r w:rsidR="00CC3F81">
        <w:rPr>
          <w:rFonts w:ascii="Arial" w:hAnsi="Arial" w:cs="Arial"/>
          <w:sz w:val="24"/>
          <w:szCs w:val="24"/>
          <w:lang w:eastAsia="en-US"/>
        </w:rPr>
        <w:t xml:space="preserve"> </w:t>
      </w:r>
      <w:r w:rsidRPr="00B67E63">
        <w:rPr>
          <w:rFonts w:ascii="Arial" w:hAnsi="Arial" w:cs="Arial"/>
          <w:sz w:val="24"/>
          <w:szCs w:val="24"/>
          <w:lang w:eastAsia="en-US"/>
        </w:rPr>
        <w:t>preliminar dos réus somente foi concluída em julho de 2013, ou seja, três anos depois da</w:t>
      </w:r>
      <w:r w:rsidR="00CC3F81">
        <w:rPr>
          <w:rFonts w:ascii="Arial" w:hAnsi="Arial" w:cs="Arial"/>
          <w:sz w:val="24"/>
          <w:szCs w:val="24"/>
          <w:lang w:eastAsia="en-US"/>
        </w:rPr>
        <w:t xml:space="preserve"> </w:t>
      </w:r>
      <w:r w:rsidRPr="00B67E63">
        <w:rPr>
          <w:rFonts w:ascii="Arial" w:hAnsi="Arial" w:cs="Arial"/>
          <w:sz w:val="24"/>
          <w:szCs w:val="24"/>
          <w:lang w:eastAsia="en-US"/>
        </w:rPr>
        <w:t>propositura da ação. Em seguida, em 12 de novembro de 2013 foi proferida a decisão de</w:t>
      </w:r>
      <w:r w:rsidR="00CC3F81">
        <w:rPr>
          <w:rFonts w:ascii="Arial" w:hAnsi="Arial" w:cs="Arial"/>
          <w:sz w:val="24"/>
          <w:szCs w:val="24"/>
          <w:lang w:eastAsia="en-US"/>
        </w:rPr>
        <w:t xml:space="preserve"> </w:t>
      </w:r>
      <w:r w:rsidRPr="00B67E63">
        <w:rPr>
          <w:rFonts w:ascii="Arial" w:hAnsi="Arial" w:cs="Arial"/>
          <w:sz w:val="24"/>
          <w:szCs w:val="24"/>
          <w:lang w:eastAsia="en-US"/>
        </w:rPr>
        <w:t>recebimento da petição inicial e ordenada a realização da citação dos réus. Desde então, decorrido</w:t>
      </w:r>
      <w:r w:rsidR="00CC3F81">
        <w:rPr>
          <w:rFonts w:ascii="Arial" w:hAnsi="Arial" w:cs="Arial"/>
          <w:sz w:val="24"/>
          <w:szCs w:val="24"/>
          <w:lang w:eastAsia="en-US"/>
        </w:rPr>
        <w:t xml:space="preserve"> </w:t>
      </w:r>
      <w:r w:rsidRPr="00B67E63">
        <w:rPr>
          <w:rFonts w:ascii="Arial" w:hAnsi="Arial" w:cs="Arial"/>
          <w:sz w:val="24"/>
          <w:szCs w:val="24"/>
          <w:lang w:eastAsia="en-US"/>
        </w:rPr>
        <w:t>bem mais de um ano desde a decisão de recebimento, o processo ainda se encontra na fase de</w:t>
      </w:r>
      <w:r w:rsidR="00CC3F81">
        <w:rPr>
          <w:rFonts w:ascii="Arial" w:hAnsi="Arial" w:cs="Arial"/>
          <w:sz w:val="24"/>
          <w:szCs w:val="24"/>
          <w:lang w:eastAsia="en-US"/>
        </w:rPr>
        <w:t xml:space="preserve"> </w:t>
      </w:r>
      <w:r w:rsidRPr="00B67E63">
        <w:rPr>
          <w:rFonts w:ascii="Arial" w:hAnsi="Arial" w:cs="Arial"/>
          <w:sz w:val="24"/>
          <w:szCs w:val="24"/>
          <w:lang w:eastAsia="en-US"/>
        </w:rPr>
        <w:t>citação.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Ressalta-se que o ato de comunicação processual que está sendo realizado nesta fase – a</w:t>
      </w:r>
      <w:r w:rsidR="00CC3F81">
        <w:rPr>
          <w:rFonts w:ascii="Arial" w:hAnsi="Arial" w:cs="Arial"/>
          <w:sz w:val="24"/>
          <w:szCs w:val="24"/>
          <w:lang w:eastAsia="en-US"/>
        </w:rPr>
        <w:t xml:space="preserve"> </w:t>
      </w:r>
      <w:r w:rsidRPr="00B67E63">
        <w:rPr>
          <w:rFonts w:ascii="Arial" w:hAnsi="Arial" w:cs="Arial"/>
          <w:sz w:val="24"/>
          <w:szCs w:val="24"/>
          <w:lang w:eastAsia="en-US"/>
        </w:rPr>
        <w:t>citação – não é essencialmente diferente do ato de notificação, pois ambos visam dar conhecimento</w:t>
      </w:r>
      <w:r w:rsidR="00CC3F81">
        <w:rPr>
          <w:rFonts w:ascii="Arial" w:hAnsi="Arial" w:cs="Arial"/>
          <w:sz w:val="24"/>
          <w:szCs w:val="24"/>
          <w:lang w:eastAsia="en-US"/>
        </w:rPr>
        <w:t xml:space="preserve"> </w:t>
      </w:r>
      <w:r w:rsidRPr="00B67E63">
        <w:rPr>
          <w:rFonts w:ascii="Arial" w:hAnsi="Arial" w:cs="Arial"/>
          <w:sz w:val="24"/>
          <w:szCs w:val="24"/>
          <w:lang w:eastAsia="en-US"/>
        </w:rPr>
        <w:t>ao réu do teor da acusação formulada e permitir a defesa.</w:t>
      </w:r>
    </w:p>
    <w:p w:rsidR="00B43877"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Ou seja, nesta ação foram necessários três anos apenas para que fosse concluída a fase de</w:t>
      </w:r>
      <w:r w:rsidR="00CC3F81">
        <w:rPr>
          <w:rFonts w:ascii="Arial" w:hAnsi="Arial" w:cs="Arial"/>
          <w:sz w:val="24"/>
          <w:szCs w:val="24"/>
          <w:lang w:eastAsia="en-US"/>
        </w:rPr>
        <w:t xml:space="preserve"> </w:t>
      </w:r>
      <w:r w:rsidRPr="00B67E63">
        <w:rPr>
          <w:rFonts w:ascii="Arial" w:hAnsi="Arial" w:cs="Arial"/>
          <w:sz w:val="24"/>
          <w:szCs w:val="24"/>
          <w:lang w:eastAsia="en-US"/>
        </w:rPr>
        <w:t>notificação preliminar dos réus e, na fase seguinte, mais um ano já foi consumido apenas para</w:t>
      </w:r>
      <w:r w:rsidR="00CC3F81">
        <w:rPr>
          <w:rFonts w:ascii="Arial" w:hAnsi="Arial" w:cs="Arial"/>
          <w:sz w:val="24"/>
          <w:szCs w:val="24"/>
          <w:lang w:eastAsia="en-US"/>
        </w:rPr>
        <w:t xml:space="preserve"> </w:t>
      </w:r>
      <w:r w:rsidRPr="00B67E63">
        <w:rPr>
          <w:rFonts w:ascii="Arial" w:hAnsi="Arial" w:cs="Arial"/>
          <w:sz w:val="24"/>
          <w:szCs w:val="24"/>
          <w:lang w:eastAsia="en-US"/>
        </w:rPr>
        <w:t xml:space="preserve">renovar a comunicação processual, não </w:t>
      </w:r>
    </w:p>
    <w:p w:rsidR="00B43877" w:rsidRDefault="00B43877" w:rsidP="00B43877">
      <w:pPr>
        <w:autoSpaceDE w:val="0"/>
        <w:autoSpaceDN w:val="0"/>
        <w:adjustRightInd w:val="0"/>
        <w:spacing w:after="0" w:line="240" w:lineRule="auto"/>
        <w:jc w:val="both"/>
        <w:rPr>
          <w:rFonts w:ascii="Arial" w:hAnsi="Arial" w:cs="Arial"/>
          <w:sz w:val="24"/>
          <w:szCs w:val="24"/>
          <w:lang w:eastAsia="en-US"/>
        </w:rPr>
      </w:pPr>
    </w:p>
    <w:p w:rsidR="00B43877" w:rsidRDefault="00B43877" w:rsidP="00B43877">
      <w:pPr>
        <w:autoSpaceDE w:val="0"/>
        <w:autoSpaceDN w:val="0"/>
        <w:adjustRightInd w:val="0"/>
        <w:spacing w:after="0" w:line="240" w:lineRule="auto"/>
        <w:jc w:val="both"/>
        <w:rPr>
          <w:rFonts w:ascii="Arial" w:hAnsi="Arial" w:cs="Arial"/>
          <w:sz w:val="24"/>
          <w:szCs w:val="24"/>
          <w:lang w:eastAsia="en-US"/>
        </w:rPr>
      </w:pPr>
    </w:p>
    <w:p w:rsidR="00B43877" w:rsidRDefault="00B43877" w:rsidP="00B43877">
      <w:pPr>
        <w:autoSpaceDE w:val="0"/>
        <w:autoSpaceDN w:val="0"/>
        <w:adjustRightInd w:val="0"/>
        <w:spacing w:after="0" w:line="240" w:lineRule="auto"/>
        <w:jc w:val="both"/>
        <w:rPr>
          <w:rFonts w:ascii="Arial" w:hAnsi="Arial" w:cs="Arial"/>
          <w:sz w:val="24"/>
          <w:szCs w:val="24"/>
          <w:lang w:eastAsia="en-US"/>
        </w:rPr>
      </w:pPr>
    </w:p>
    <w:p w:rsidR="00B67E63" w:rsidRPr="00B67E63" w:rsidRDefault="00B67E63" w:rsidP="00B43877">
      <w:pPr>
        <w:autoSpaceDE w:val="0"/>
        <w:autoSpaceDN w:val="0"/>
        <w:adjustRightInd w:val="0"/>
        <w:spacing w:after="0" w:line="240" w:lineRule="auto"/>
        <w:jc w:val="both"/>
        <w:rPr>
          <w:rFonts w:ascii="Arial" w:hAnsi="Arial" w:cs="Arial"/>
          <w:sz w:val="24"/>
          <w:szCs w:val="24"/>
          <w:lang w:eastAsia="en-US"/>
        </w:rPr>
      </w:pPr>
      <w:proofErr w:type="gramStart"/>
      <w:r w:rsidRPr="00B67E63">
        <w:rPr>
          <w:rFonts w:ascii="Arial" w:hAnsi="Arial" w:cs="Arial"/>
          <w:sz w:val="24"/>
          <w:szCs w:val="24"/>
          <w:lang w:eastAsia="en-US"/>
        </w:rPr>
        <w:t>sendo</w:t>
      </w:r>
      <w:proofErr w:type="gramEnd"/>
      <w:r w:rsidRPr="00B67E63">
        <w:rPr>
          <w:rFonts w:ascii="Arial" w:hAnsi="Arial" w:cs="Arial"/>
          <w:sz w:val="24"/>
          <w:szCs w:val="24"/>
          <w:lang w:eastAsia="en-US"/>
        </w:rPr>
        <w:t xml:space="preserve"> possível prever quando, finalmente, se iniciará a fase</w:t>
      </w:r>
      <w:r w:rsidR="00CC3F81">
        <w:rPr>
          <w:rFonts w:ascii="Arial" w:hAnsi="Arial" w:cs="Arial"/>
          <w:sz w:val="24"/>
          <w:szCs w:val="24"/>
          <w:lang w:eastAsia="en-US"/>
        </w:rPr>
        <w:t xml:space="preserve"> </w:t>
      </w:r>
      <w:r w:rsidRPr="00B67E63">
        <w:rPr>
          <w:rFonts w:ascii="Arial" w:hAnsi="Arial" w:cs="Arial"/>
          <w:sz w:val="24"/>
          <w:szCs w:val="24"/>
          <w:lang w:eastAsia="en-US"/>
        </w:rPr>
        <w:t>de instrução do processo.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Diga-se, mais ainda, que muito provavelmente os réus terão o trabalho único de renovar as</w:t>
      </w:r>
      <w:r w:rsidR="00CC3F81">
        <w:rPr>
          <w:rFonts w:ascii="Arial" w:hAnsi="Arial" w:cs="Arial"/>
          <w:sz w:val="24"/>
          <w:szCs w:val="24"/>
          <w:lang w:eastAsia="en-US"/>
        </w:rPr>
        <w:t xml:space="preserve"> </w:t>
      </w:r>
      <w:r w:rsidRPr="00B67E63">
        <w:rPr>
          <w:rFonts w:ascii="Arial" w:hAnsi="Arial" w:cs="Arial"/>
          <w:sz w:val="24"/>
          <w:szCs w:val="24"/>
          <w:lang w:eastAsia="en-US"/>
        </w:rPr>
        <w:t>linhas de argumentação já oferecidas por ocasião da defesa preliminar, em um verdadeiro faz de</w:t>
      </w:r>
      <w:r w:rsidR="00CC3F81">
        <w:rPr>
          <w:rFonts w:ascii="Arial" w:hAnsi="Arial" w:cs="Arial"/>
          <w:sz w:val="24"/>
          <w:szCs w:val="24"/>
          <w:lang w:eastAsia="en-US"/>
        </w:rPr>
        <w:t xml:space="preserve"> </w:t>
      </w:r>
      <w:r w:rsidRPr="00B67E63">
        <w:rPr>
          <w:rFonts w:ascii="Arial" w:hAnsi="Arial" w:cs="Arial"/>
          <w:sz w:val="24"/>
          <w:szCs w:val="24"/>
          <w:lang w:eastAsia="en-US"/>
        </w:rPr>
        <w:t>conta procedimental no qual o único perdedor é o Princípio da Razoável Duração do Processo,</w:t>
      </w:r>
      <w:r w:rsidR="00CC3F81">
        <w:rPr>
          <w:rFonts w:ascii="Arial" w:hAnsi="Arial" w:cs="Arial"/>
          <w:sz w:val="24"/>
          <w:szCs w:val="24"/>
          <w:lang w:eastAsia="en-US"/>
        </w:rPr>
        <w:t xml:space="preserve"> </w:t>
      </w:r>
      <w:r w:rsidRPr="00B67E63">
        <w:rPr>
          <w:rFonts w:ascii="Arial" w:hAnsi="Arial" w:cs="Arial"/>
          <w:sz w:val="24"/>
          <w:szCs w:val="24"/>
          <w:lang w:eastAsia="en-US"/>
        </w:rPr>
        <w:t>estabelecido no art. 5º, LXXVIII, da Constituição.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O caso aludido não é isolado. Uma simples pesquisa da tramitação das ações no Poder</w:t>
      </w:r>
      <w:r w:rsidR="00CC3F81">
        <w:rPr>
          <w:rFonts w:ascii="Arial" w:hAnsi="Arial" w:cs="Arial"/>
          <w:sz w:val="24"/>
          <w:szCs w:val="24"/>
          <w:lang w:eastAsia="en-US"/>
        </w:rPr>
        <w:t xml:space="preserve"> </w:t>
      </w:r>
      <w:r w:rsidRPr="00B67E63">
        <w:rPr>
          <w:rFonts w:ascii="Arial" w:hAnsi="Arial" w:cs="Arial"/>
          <w:sz w:val="24"/>
          <w:szCs w:val="24"/>
          <w:lang w:eastAsia="en-US"/>
        </w:rPr>
        <w:t xml:space="preserve">Judiciário permite identificar diversos outros processos nos </w:t>
      </w:r>
      <w:r w:rsidRPr="00B67E63">
        <w:rPr>
          <w:rFonts w:ascii="Arial" w:hAnsi="Arial" w:cs="Arial"/>
          <w:sz w:val="24"/>
          <w:szCs w:val="24"/>
          <w:lang w:eastAsia="en-US"/>
        </w:rPr>
        <w:lastRenderedPageBreak/>
        <w:t>quais a marcha processual das ações de</w:t>
      </w:r>
      <w:r w:rsidR="00CC3F81">
        <w:rPr>
          <w:rFonts w:ascii="Arial" w:hAnsi="Arial" w:cs="Arial"/>
          <w:sz w:val="24"/>
          <w:szCs w:val="24"/>
          <w:lang w:eastAsia="en-US"/>
        </w:rPr>
        <w:t xml:space="preserve"> </w:t>
      </w:r>
      <w:r w:rsidRPr="00B67E63">
        <w:rPr>
          <w:rFonts w:ascii="Arial" w:hAnsi="Arial" w:cs="Arial"/>
          <w:sz w:val="24"/>
          <w:szCs w:val="24"/>
          <w:lang w:eastAsia="en-US"/>
        </w:rPr>
        <w:t>improbidade administrativa foi atrasada em alguns anos, diante da fase de dupla notificação/citação</w:t>
      </w:r>
      <w:r w:rsidR="00CC3F81">
        <w:rPr>
          <w:rFonts w:ascii="Arial" w:hAnsi="Arial" w:cs="Arial"/>
          <w:sz w:val="24"/>
          <w:szCs w:val="24"/>
          <w:lang w:eastAsia="en-US"/>
        </w:rPr>
        <w:t xml:space="preserve"> </w:t>
      </w:r>
      <w:r w:rsidRPr="00B67E63">
        <w:rPr>
          <w:rFonts w:ascii="Arial" w:hAnsi="Arial" w:cs="Arial"/>
          <w:sz w:val="24"/>
          <w:szCs w:val="24"/>
          <w:lang w:eastAsia="en-US"/>
        </w:rPr>
        <w:t>dos réus.</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 xml:space="preserve">Nessa linha, </w:t>
      </w:r>
      <w:proofErr w:type="gramStart"/>
      <w:r w:rsidRPr="00B67E63">
        <w:rPr>
          <w:rFonts w:ascii="Arial" w:hAnsi="Arial" w:cs="Arial"/>
          <w:sz w:val="24"/>
          <w:szCs w:val="24"/>
          <w:lang w:eastAsia="en-US"/>
        </w:rPr>
        <w:t>os mesmos percalços sofreu</w:t>
      </w:r>
      <w:proofErr w:type="gramEnd"/>
      <w:r w:rsidRPr="00B67E63">
        <w:rPr>
          <w:rFonts w:ascii="Arial" w:hAnsi="Arial" w:cs="Arial"/>
          <w:sz w:val="24"/>
          <w:szCs w:val="24"/>
          <w:lang w:eastAsia="en-US"/>
        </w:rPr>
        <w:t xml:space="preserve"> a ação em face de dirigentes da FUB (Fundação</w:t>
      </w:r>
      <w:r w:rsidR="00CC3F81">
        <w:rPr>
          <w:rFonts w:ascii="Arial" w:hAnsi="Arial" w:cs="Arial"/>
          <w:sz w:val="24"/>
          <w:szCs w:val="24"/>
          <w:lang w:eastAsia="en-US"/>
        </w:rPr>
        <w:t xml:space="preserve"> </w:t>
      </w:r>
      <w:r w:rsidRPr="00B67E63">
        <w:rPr>
          <w:rFonts w:ascii="Arial" w:hAnsi="Arial" w:cs="Arial"/>
          <w:sz w:val="24"/>
          <w:szCs w:val="24"/>
          <w:lang w:eastAsia="en-US"/>
        </w:rPr>
        <w:t>Universidade de Brasília) e do CESPE (Centro de Seleção e Promoção de Eventos da UnB,</w:t>
      </w:r>
      <w:r w:rsidR="00CC3F81">
        <w:rPr>
          <w:rFonts w:ascii="Arial" w:hAnsi="Arial" w:cs="Arial"/>
          <w:sz w:val="24"/>
          <w:szCs w:val="24"/>
          <w:lang w:eastAsia="en-US"/>
        </w:rPr>
        <w:t xml:space="preserve"> </w:t>
      </w:r>
      <w:r w:rsidRPr="00B67E63">
        <w:rPr>
          <w:rFonts w:ascii="Arial" w:hAnsi="Arial" w:cs="Arial"/>
          <w:sz w:val="24"/>
          <w:szCs w:val="24"/>
          <w:lang w:eastAsia="en-US"/>
        </w:rPr>
        <w:t>responsável pela realização de boa parte dos concursos do país), proposta em razão de burla à Lei</w:t>
      </w:r>
      <w:r w:rsidR="00CC3F81">
        <w:rPr>
          <w:rFonts w:ascii="Arial" w:hAnsi="Arial" w:cs="Arial"/>
          <w:sz w:val="24"/>
          <w:szCs w:val="24"/>
          <w:lang w:eastAsia="en-US"/>
        </w:rPr>
        <w:t xml:space="preserve"> </w:t>
      </w:r>
      <w:r w:rsidRPr="00B67E63">
        <w:rPr>
          <w:rFonts w:ascii="Arial" w:hAnsi="Arial" w:cs="Arial"/>
          <w:sz w:val="24"/>
          <w:szCs w:val="24"/>
          <w:lang w:eastAsia="en-US"/>
        </w:rPr>
        <w:t>de Licitações e do desvio de recursos para empresas cujos sócios tinham vínculos com dirigentes do</w:t>
      </w:r>
      <w:r w:rsidR="00CC3F81">
        <w:rPr>
          <w:rFonts w:ascii="Arial" w:hAnsi="Arial" w:cs="Arial"/>
          <w:sz w:val="24"/>
          <w:szCs w:val="24"/>
          <w:lang w:eastAsia="en-US"/>
        </w:rPr>
        <w:t xml:space="preserve"> </w:t>
      </w:r>
      <w:r w:rsidRPr="00B67E63">
        <w:rPr>
          <w:rFonts w:ascii="Arial" w:hAnsi="Arial" w:cs="Arial"/>
          <w:sz w:val="24"/>
          <w:szCs w:val="24"/>
          <w:lang w:eastAsia="en-US"/>
        </w:rPr>
        <w:t>CESPE.</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 ação, com sete réus, foi proposta em 15 de outubro de 2008. A fase preliminar somente</w:t>
      </w:r>
      <w:r w:rsidR="00CC3F81">
        <w:rPr>
          <w:rFonts w:ascii="Arial" w:hAnsi="Arial" w:cs="Arial"/>
          <w:sz w:val="24"/>
          <w:szCs w:val="24"/>
          <w:lang w:eastAsia="en-US"/>
        </w:rPr>
        <w:t xml:space="preserve"> </w:t>
      </w:r>
      <w:r w:rsidRPr="00B67E63">
        <w:rPr>
          <w:rFonts w:ascii="Arial" w:hAnsi="Arial" w:cs="Arial"/>
          <w:sz w:val="24"/>
          <w:szCs w:val="24"/>
          <w:lang w:eastAsia="en-US"/>
        </w:rPr>
        <w:t>foi concluída quatro anos após, com o recebimento da ação em 6 de novembro de 2012. Em</w:t>
      </w:r>
      <w:r w:rsidR="00CC3F81">
        <w:rPr>
          <w:rFonts w:ascii="Arial" w:hAnsi="Arial" w:cs="Arial"/>
          <w:sz w:val="24"/>
          <w:szCs w:val="24"/>
          <w:lang w:eastAsia="en-US"/>
        </w:rPr>
        <w:t xml:space="preserve"> </w:t>
      </w:r>
      <w:r w:rsidRPr="00B67E63">
        <w:rPr>
          <w:rFonts w:ascii="Arial" w:hAnsi="Arial" w:cs="Arial"/>
          <w:sz w:val="24"/>
          <w:szCs w:val="24"/>
          <w:lang w:eastAsia="en-US"/>
        </w:rPr>
        <w:t>seguida, foi necessário aguardar mais um ano e meio para a renovação das citações, e a instrução</w:t>
      </w:r>
      <w:r w:rsidR="00CC3F81">
        <w:rPr>
          <w:rFonts w:ascii="Arial" w:hAnsi="Arial" w:cs="Arial"/>
          <w:sz w:val="24"/>
          <w:szCs w:val="24"/>
          <w:lang w:eastAsia="en-US"/>
        </w:rPr>
        <w:t xml:space="preserve"> </w:t>
      </w:r>
      <w:r w:rsidRPr="00B67E63">
        <w:rPr>
          <w:rFonts w:ascii="Arial" w:hAnsi="Arial" w:cs="Arial"/>
          <w:sz w:val="24"/>
          <w:szCs w:val="24"/>
          <w:lang w:eastAsia="en-US"/>
        </w:rPr>
        <w:t>processual somente foi realmente desencadeada em julho de 2014, com o despacho que determinou</w:t>
      </w:r>
      <w:r w:rsidR="00CC3F81">
        <w:rPr>
          <w:rFonts w:ascii="Arial" w:hAnsi="Arial" w:cs="Arial"/>
          <w:sz w:val="24"/>
          <w:szCs w:val="24"/>
          <w:lang w:eastAsia="en-US"/>
        </w:rPr>
        <w:t xml:space="preserve"> </w:t>
      </w:r>
      <w:r w:rsidRPr="00B67E63">
        <w:rPr>
          <w:rFonts w:ascii="Arial" w:hAnsi="Arial" w:cs="Arial"/>
          <w:sz w:val="24"/>
          <w:szCs w:val="24"/>
          <w:lang w:eastAsia="en-US"/>
        </w:rPr>
        <w:t>às partes a indicação das provas a serem produzidas.</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Outros tantos atos de improbidade administrativa acabam por ter a mesma sina: embora a</w:t>
      </w:r>
      <w:r w:rsidR="00CC3F81">
        <w:rPr>
          <w:rFonts w:ascii="Arial" w:hAnsi="Arial" w:cs="Arial"/>
          <w:sz w:val="24"/>
          <w:szCs w:val="24"/>
          <w:lang w:eastAsia="en-US"/>
        </w:rPr>
        <w:t xml:space="preserve"> </w:t>
      </w:r>
      <w:r w:rsidRPr="00B67E63">
        <w:rPr>
          <w:rFonts w:ascii="Arial" w:hAnsi="Arial" w:cs="Arial"/>
          <w:sz w:val="24"/>
          <w:szCs w:val="24"/>
          <w:lang w:eastAsia="en-US"/>
        </w:rPr>
        <w:t>investigação identifique graves atenta</w:t>
      </w:r>
      <w:r w:rsidR="00CC3F81">
        <w:rPr>
          <w:rFonts w:ascii="Arial" w:hAnsi="Arial" w:cs="Arial"/>
          <w:sz w:val="24"/>
          <w:szCs w:val="24"/>
          <w:lang w:eastAsia="en-US"/>
        </w:rPr>
        <w:t>d</w:t>
      </w:r>
      <w:r w:rsidRPr="00B67E63">
        <w:rPr>
          <w:rFonts w:ascii="Arial" w:hAnsi="Arial" w:cs="Arial"/>
          <w:sz w:val="24"/>
          <w:szCs w:val="24"/>
          <w:lang w:eastAsia="en-US"/>
        </w:rPr>
        <w:t>os ao erário e aos princípios da Administração Pública, a</w:t>
      </w:r>
      <w:r w:rsidR="00CC3F81">
        <w:rPr>
          <w:rFonts w:ascii="Arial" w:hAnsi="Arial" w:cs="Arial"/>
          <w:sz w:val="24"/>
          <w:szCs w:val="24"/>
          <w:lang w:eastAsia="en-US"/>
        </w:rPr>
        <w:t xml:space="preserve"> </w:t>
      </w:r>
      <w:r w:rsidRPr="00B67E63">
        <w:rPr>
          <w:rFonts w:ascii="Arial" w:hAnsi="Arial" w:cs="Arial"/>
          <w:sz w:val="24"/>
          <w:szCs w:val="24"/>
          <w:lang w:eastAsia="en-US"/>
        </w:rPr>
        <w:t>efetiva aplicação de penalidades acaba por ser prejudicada em razão do distanciamento temporal</w:t>
      </w:r>
      <w:r w:rsidR="00CC3F81">
        <w:rPr>
          <w:rFonts w:ascii="Arial" w:hAnsi="Arial" w:cs="Arial"/>
          <w:sz w:val="24"/>
          <w:szCs w:val="24"/>
          <w:lang w:eastAsia="en-US"/>
        </w:rPr>
        <w:t xml:space="preserve"> </w:t>
      </w:r>
      <w:r w:rsidRPr="00B67E63">
        <w:rPr>
          <w:rFonts w:ascii="Arial" w:hAnsi="Arial" w:cs="Arial"/>
          <w:sz w:val="24"/>
          <w:szCs w:val="24"/>
          <w:lang w:eastAsia="en-US"/>
        </w:rPr>
        <w:t>entre o julgamento e a acusação, que no caso é consubstanciada pela propositura da ação.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Para sanar esse problema, pretende-se trazer para a ação de improbidade administrativa um</w:t>
      </w:r>
      <w:r w:rsidR="00CC3F81">
        <w:rPr>
          <w:rFonts w:ascii="Arial" w:hAnsi="Arial" w:cs="Arial"/>
          <w:sz w:val="24"/>
          <w:szCs w:val="24"/>
          <w:lang w:eastAsia="en-US"/>
        </w:rPr>
        <w:t xml:space="preserve"> </w:t>
      </w:r>
      <w:r w:rsidRPr="00B67E63">
        <w:rPr>
          <w:rFonts w:ascii="Arial" w:hAnsi="Arial" w:cs="Arial"/>
          <w:sz w:val="24"/>
          <w:szCs w:val="24"/>
          <w:lang w:eastAsia="en-US"/>
        </w:rPr>
        <w:t>rito de recebimento semelhante ao que foi implementado para o processo penal, pela Lei nº 11.719,</w:t>
      </w:r>
      <w:r w:rsidR="00CC3F81">
        <w:rPr>
          <w:rFonts w:ascii="Arial" w:hAnsi="Arial" w:cs="Arial"/>
          <w:sz w:val="24"/>
          <w:szCs w:val="24"/>
          <w:lang w:eastAsia="en-US"/>
        </w:rPr>
        <w:t xml:space="preserve"> </w:t>
      </w:r>
      <w:r w:rsidRPr="00B67E63">
        <w:rPr>
          <w:rFonts w:ascii="Arial" w:hAnsi="Arial" w:cs="Arial"/>
          <w:sz w:val="24"/>
          <w:szCs w:val="24"/>
          <w:lang w:eastAsia="en-US"/>
        </w:rPr>
        <w:t>de 20 de junho de 2008. A reforma instituída por esse diploma modificou o Código de Processo</w:t>
      </w:r>
      <w:r w:rsidR="00CC3F81">
        <w:rPr>
          <w:rFonts w:ascii="Arial" w:hAnsi="Arial" w:cs="Arial"/>
          <w:sz w:val="24"/>
          <w:szCs w:val="24"/>
          <w:lang w:eastAsia="en-US"/>
        </w:rPr>
        <w:t xml:space="preserve"> </w:t>
      </w:r>
      <w:r w:rsidRPr="00B67E63">
        <w:rPr>
          <w:rFonts w:ascii="Arial" w:hAnsi="Arial" w:cs="Arial"/>
          <w:sz w:val="24"/>
          <w:szCs w:val="24"/>
          <w:lang w:eastAsia="en-US"/>
        </w:rPr>
        <w:t>Penal para criar uma fase de análise preliminar da (in)</w:t>
      </w:r>
      <w:r w:rsidR="00CC3F81">
        <w:rPr>
          <w:rFonts w:ascii="Arial" w:hAnsi="Arial" w:cs="Arial"/>
          <w:sz w:val="24"/>
          <w:szCs w:val="24"/>
          <w:lang w:eastAsia="en-US"/>
        </w:rPr>
        <w:t xml:space="preserve"> </w:t>
      </w:r>
      <w:r w:rsidRPr="00B67E63">
        <w:rPr>
          <w:rFonts w:ascii="Arial" w:hAnsi="Arial" w:cs="Arial"/>
          <w:sz w:val="24"/>
          <w:szCs w:val="24"/>
          <w:lang w:eastAsia="en-US"/>
        </w:rPr>
        <w:t>viabilidade da acusação que é realizada, no</w:t>
      </w:r>
      <w:r w:rsidR="00CC3F81">
        <w:rPr>
          <w:rFonts w:ascii="Arial" w:hAnsi="Arial" w:cs="Arial"/>
          <w:sz w:val="24"/>
          <w:szCs w:val="24"/>
          <w:lang w:eastAsia="en-US"/>
        </w:rPr>
        <w:t xml:space="preserve"> </w:t>
      </w:r>
      <w:r w:rsidRPr="00B67E63">
        <w:rPr>
          <w:rFonts w:ascii="Arial" w:hAnsi="Arial" w:cs="Arial"/>
          <w:sz w:val="24"/>
          <w:szCs w:val="24"/>
          <w:lang w:eastAsia="en-US"/>
        </w:rPr>
        <w:t xml:space="preserve">entanto, </w:t>
      </w:r>
      <w:r w:rsidRPr="00B67E63">
        <w:rPr>
          <w:rFonts w:ascii="Arial" w:hAnsi="Arial" w:cs="Arial"/>
          <w:i/>
          <w:iCs/>
          <w:sz w:val="24"/>
          <w:szCs w:val="24"/>
          <w:lang w:eastAsia="en-US"/>
        </w:rPr>
        <w:t xml:space="preserve">após a citação </w:t>
      </w:r>
      <w:r w:rsidRPr="00B67E63">
        <w:rPr>
          <w:rFonts w:ascii="Arial" w:hAnsi="Arial" w:cs="Arial"/>
          <w:sz w:val="24"/>
          <w:szCs w:val="24"/>
          <w:lang w:eastAsia="en-US"/>
        </w:rPr>
        <w:t>do réu.</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Com a instituição de um momento único de citação do réu, seguido de uma análise</w:t>
      </w:r>
      <w:r w:rsidR="00CC3F81">
        <w:rPr>
          <w:rFonts w:ascii="Arial" w:hAnsi="Arial" w:cs="Arial"/>
          <w:sz w:val="24"/>
          <w:szCs w:val="24"/>
          <w:lang w:eastAsia="en-US"/>
        </w:rPr>
        <w:t xml:space="preserve"> </w:t>
      </w:r>
      <w:r w:rsidRPr="00B67E63">
        <w:rPr>
          <w:rFonts w:ascii="Arial" w:hAnsi="Arial" w:cs="Arial"/>
          <w:sz w:val="24"/>
          <w:szCs w:val="24"/>
          <w:lang w:eastAsia="en-US"/>
        </w:rPr>
        <w:t>preliminar sobre a viabilidade da ação, entende-se que se está contemplando tanto a preocupação</w:t>
      </w:r>
      <w:r w:rsidR="00CC3F81">
        <w:rPr>
          <w:rFonts w:ascii="Arial" w:hAnsi="Arial" w:cs="Arial"/>
          <w:sz w:val="24"/>
          <w:szCs w:val="24"/>
          <w:lang w:eastAsia="en-US"/>
        </w:rPr>
        <w:t xml:space="preserve"> </w:t>
      </w:r>
      <w:r w:rsidRPr="00B67E63">
        <w:rPr>
          <w:rFonts w:ascii="Arial" w:hAnsi="Arial" w:cs="Arial"/>
          <w:sz w:val="24"/>
          <w:szCs w:val="24"/>
          <w:lang w:eastAsia="en-US"/>
        </w:rPr>
        <w:t>que deu origem à fase de dupla notificação/citação criada pela MP nº 2.245/2001 (evitar a</w:t>
      </w:r>
      <w:r w:rsidR="00CC3F81">
        <w:rPr>
          <w:rFonts w:ascii="Arial" w:hAnsi="Arial" w:cs="Arial"/>
          <w:sz w:val="24"/>
          <w:szCs w:val="24"/>
          <w:lang w:eastAsia="en-US"/>
        </w:rPr>
        <w:t xml:space="preserve"> </w:t>
      </w:r>
      <w:r w:rsidRPr="00B67E63">
        <w:rPr>
          <w:rFonts w:ascii="Arial" w:hAnsi="Arial" w:cs="Arial"/>
          <w:sz w:val="24"/>
          <w:szCs w:val="24"/>
          <w:lang w:eastAsia="en-US"/>
        </w:rPr>
        <w:t>tramitação de ações temerárias), quanto a necessidade de agilizar a tramitação do processo judicial</w:t>
      </w:r>
      <w:r w:rsidR="00CC3F81">
        <w:rPr>
          <w:rFonts w:ascii="Arial" w:hAnsi="Arial" w:cs="Arial"/>
          <w:sz w:val="24"/>
          <w:szCs w:val="24"/>
          <w:lang w:eastAsia="en-US"/>
        </w:rPr>
        <w:t xml:space="preserve"> </w:t>
      </w:r>
      <w:r w:rsidRPr="00B67E63">
        <w:rPr>
          <w:rFonts w:ascii="Arial" w:hAnsi="Arial" w:cs="Arial"/>
          <w:sz w:val="24"/>
          <w:szCs w:val="24"/>
          <w:lang w:eastAsia="en-US"/>
        </w:rPr>
        <w:t>mediante a extinção da desnecessária duplicidade de notificação pessoal para instauração do</w:t>
      </w:r>
      <w:r w:rsidR="00CC3F81">
        <w:rPr>
          <w:rFonts w:ascii="Arial" w:hAnsi="Arial" w:cs="Arial"/>
          <w:sz w:val="24"/>
          <w:szCs w:val="24"/>
          <w:lang w:eastAsia="en-US"/>
        </w:rPr>
        <w:t xml:space="preserve"> </w:t>
      </w:r>
      <w:r w:rsidRPr="00B67E63">
        <w:rPr>
          <w:rFonts w:ascii="Arial" w:hAnsi="Arial" w:cs="Arial"/>
          <w:sz w:val="24"/>
          <w:szCs w:val="24"/>
          <w:lang w:eastAsia="en-US"/>
        </w:rPr>
        <w:t>processo.</w:t>
      </w:r>
    </w:p>
    <w:p w:rsidR="00CC3F81"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Nessa linha, a jurisprudência tem entendido que o procedimento criado pela Lei nº</w:t>
      </w:r>
      <w:r w:rsidR="00CC3F81">
        <w:rPr>
          <w:rFonts w:ascii="Arial" w:hAnsi="Arial" w:cs="Arial"/>
          <w:sz w:val="24"/>
          <w:szCs w:val="24"/>
          <w:lang w:eastAsia="en-US"/>
        </w:rPr>
        <w:t xml:space="preserve"> </w:t>
      </w:r>
      <w:r w:rsidRPr="00B67E63">
        <w:rPr>
          <w:rFonts w:ascii="Arial" w:hAnsi="Arial" w:cs="Arial"/>
          <w:sz w:val="24"/>
          <w:szCs w:val="24"/>
          <w:lang w:eastAsia="en-US"/>
        </w:rPr>
        <w:t>11.719/2008, na esfera processual penal, suplantou até mesmo o procedimento de notificação</w:t>
      </w:r>
      <w:r w:rsidR="00CC3F81">
        <w:rPr>
          <w:rFonts w:ascii="Arial" w:hAnsi="Arial" w:cs="Arial"/>
          <w:sz w:val="24"/>
          <w:szCs w:val="24"/>
          <w:lang w:eastAsia="en-US"/>
        </w:rPr>
        <w:t xml:space="preserve"> </w:t>
      </w:r>
      <w:r w:rsidRPr="00B67E63">
        <w:rPr>
          <w:rFonts w:ascii="Arial" w:hAnsi="Arial" w:cs="Arial"/>
          <w:sz w:val="24"/>
          <w:szCs w:val="24"/>
          <w:lang w:eastAsia="en-US"/>
        </w:rPr>
        <w:t>preliminar do funcionário público previsto no art. 514 do Código de Processo Penal, uma vez que é</w:t>
      </w:r>
      <w:r w:rsidR="00CC3F81">
        <w:rPr>
          <w:rFonts w:ascii="Arial" w:hAnsi="Arial" w:cs="Arial"/>
          <w:sz w:val="24"/>
          <w:szCs w:val="24"/>
          <w:lang w:eastAsia="en-US"/>
        </w:rPr>
        <w:t xml:space="preserve"> </w:t>
      </w:r>
      <w:r w:rsidRPr="00B67E63">
        <w:rPr>
          <w:rFonts w:ascii="Arial" w:hAnsi="Arial" w:cs="Arial"/>
          <w:sz w:val="24"/>
          <w:szCs w:val="24"/>
          <w:lang w:eastAsia="en-US"/>
        </w:rPr>
        <w:t>mais democrático e, ao mesmo tempo, respeita o contraditório prévio.</w:t>
      </w:r>
    </w:p>
    <w:p w:rsid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De fato, veja-se o entendimento exposto pelo Ministro Celso de Mello, do Supremo</w:t>
      </w:r>
      <w:r w:rsidR="00CC3F81">
        <w:rPr>
          <w:rFonts w:ascii="Arial" w:hAnsi="Arial" w:cs="Arial"/>
          <w:sz w:val="24"/>
          <w:szCs w:val="24"/>
          <w:lang w:eastAsia="en-US"/>
        </w:rPr>
        <w:t xml:space="preserve"> </w:t>
      </w:r>
      <w:r w:rsidRPr="00B67E63">
        <w:rPr>
          <w:rFonts w:ascii="Arial" w:hAnsi="Arial" w:cs="Arial"/>
          <w:sz w:val="24"/>
          <w:szCs w:val="24"/>
          <w:lang w:eastAsia="en-US"/>
        </w:rPr>
        <w:t>Tribunal Federal (HC nº 115441/MT):</w:t>
      </w:r>
    </w:p>
    <w:p w:rsidR="00845B78" w:rsidRPr="00B67E63" w:rsidRDefault="00845B78" w:rsidP="00B67E63">
      <w:pPr>
        <w:autoSpaceDE w:val="0"/>
        <w:autoSpaceDN w:val="0"/>
        <w:adjustRightInd w:val="0"/>
        <w:spacing w:after="0" w:line="240" w:lineRule="auto"/>
        <w:ind w:firstLine="709"/>
        <w:jc w:val="both"/>
        <w:rPr>
          <w:rFonts w:ascii="Arial" w:hAnsi="Arial" w:cs="Arial"/>
          <w:sz w:val="24"/>
          <w:szCs w:val="24"/>
          <w:lang w:eastAsia="en-US"/>
        </w:rPr>
      </w:pPr>
    </w:p>
    <w:p w:rsidR="00B67E63" w:rsidRPr="00CC3F81" w:rsidRDefault="00845B78" w:rsidP="00CC3F81">
      <w:pPr>
        <w:autoSpaceDE w:val="0"/>
        <w:autoSpaceDN w:val="0"/>
        <w:adjustRightInd w:val="0"/>
        <w:spacing w:after="0" w:line="240" w:lineRule="auto"/>
        <w:ind w:left="1134"/>
        <w:jc w:val="both"/>
        <w:rPr>
          <w:rFonts w:ascii="Arial" w:hAnsi="Arial" w:cs="Arial"/>
          <w:i/>
          <w:sz w:val="24"/>
          <w:szCs w:val="24"/>
          <w:lang w:eastAsia="en-US"/>
        </w:rPr>
      </w:pPr>
      <w:r>
        <w:rPr>
          <w:rFonts w:ascii="Arial" w:hAnsi="Arial" w:cs="Arial"/>
          <w:i/>
          <w:sz w:val="24"/>
          <w:szCs w:val="24"/>
          <w:lang w:eastAsia="en-US"/>
        </w:rPr>
        <w:t>“</w:t>
      </w:r>
      <w:r w:rsidR="00B67E63" w:rsidRPr="00CC3F81">
        <w:rPr>
          <w:rFonts w:ascii="Arial" w:hAnsi="Arial" w:cs="Arial"/>
          <w:i/>
          <w:sz w:val="24"/>
          <w:szCs w:val="24"/>
          <w:lang w:eastAsia="en-US"/>
        </w:rPr>
        <w:t>[...] a reforma processual penal estabelecida por legislação editada em 2008 revelou-se mais</w:t>
      </w:r>
      <w:r w:rsidR="00CC3F81" w:rsidRPr="00CC3F81">
        <w:rPr>
          <w:rFonts w:ascii="Arial" w:hAnsi="Arial" w:cs="Arial"/>
          <w:i/>
          <w:sz w:val="24"/>
          <w:szCs w:val="24"/>
          <w:lang w:eastAsia="en-US"/>
        </w:rPr>
        <w:t xml:space="preserve"> </w:t>
      </w:r>
      <w:r w:rsidR="00B67E63" w:rsidRPr="00CC3F81">
        <w:rPr>
          <w:rFonts w:ascii="Arial" w:hAnsi="Arial" w:cs="Arial"/>
          <w:i/>
          <w:sz w:val="24"/>
          <w:szCs w:val="24"/>
          <w:lang w:eastAsia="en-US"/>
        </w:rPr>
        <w:t>consentânea com as novas exigências estabelecidas pelo moderno processo penal de perfil</w:t>
      </w:r>
      <w:r w:rsidR="00CC3F81" w:rsidRPr="00CC3F81">
        <w:rPr>
          <w:rFonts w:ascii="Arial" w:hAnsi="Arial" w:cs="Arial"/>
          <w:i/>
          <w:sz w:val="24"/>
          <w:szCs w:val="24"/>
          <w:lang w:eastAsia="en-US"/>
        </w:rPr>
        <w:t xml:space="preserve"> </w:t>
      </w:r>
      <w:r w:rsidR="00B67E63" w:rsidRPr="00CC3F81">
        <w:rPr>
          <w:rFonts w:ascii="Arial" w:hAnsi="Arial" w:cs="Arial"/>
          <w:i/>
          <w:sz w:val="24"/>
          <w:szCs w:val="24"/>
          <w:lang w:eastAsia="en-US"/>
        </w:rPr>
        <w:t>democrático, cuja natureza põe em perspectiva a essencialidade do direito à plenitude de defesa e</w:t>
      </w:r>
      <w:r w:rsidR="00CC3F81" w:rsidRPr="00CC3F81">
        <w:rPr>
          <w:rFonts w:ascii="Arial" w:hAnsi="Arial" w:cs="Arial"/>
          <w:i/>
          <w:sz w:val="24"/>
          <w:szCs w:val="24"/>
          <w:lang w:eastAsia="en-US"/>
        </w:rPr>
        <w:t xml:space="preserve"> </w:t>
      </w:r>
      <w:r w:rsidR="00B67E63" w:rsidRPr="00CC3F81">
        <w:rPr>
          <w:rFonts w:ascii="Arial" w:hAnsi="Arial" w:cs="Arial"/>
          <w:i/>
          <w:sz w:val="24"/>
          <w:szCs w:val="24"/>
          <w:lang w:eastAsia="en-US"/>
        </w:rPr>
        <w:t xml:space="preserve">ao efetivo respeito, pelo Estado, da prerrogativa </w:t>
      </w:r>
      <w:proofErr w:type="spellStart"/>
      <w:r w:rsidR="00B67E63" w:rsidRPr="00CC3F81">
        <w:rPr>
          <w:rFonts w:ascii="Arial" w:hAnsi="Arial" w:cs="Arial"/>
          <w:i/>
          <w:sz w:val="24"/>
          <w:szCs w:val="24"/>
          <w:lang w:eastAsia="en-US"/>
        </w:rPr>
        <w:t>ineliminável</w:t>
      </w:r>
      <w:proofErr w:type="spellEnd"/>
      <w:r w:rsidR="00B67E63" w:rsidRPr="00CC3F81">
        <w:rPr>
          <w:rFonts w:ascii="Arial" w:hAnsi="Arial" w:cs="Arial"/>
          <w:i/>
          <w:sz w:val="24"/>
          <w:szCs w:val="24"/>
          <w:lang w:eastAsia="en-US"/>
        </w:rPr>
        <w:t xml:space="preserve"> do contraditório.</w:t>
      </w:r>
    </w:p>
    <w:p w:rsidR="00B67E63" w:rsidRPr="00CC3F81" w:rsidRDefault="00B67E63" w:rsidP="00CC3F81">
      <w:pPr>
        <w:autoSpaceDE w:val="0"/>
        <w:autoSpaceDN w:val="0"/>
        <w:adjustRightInd w:val="0"/>
        <w:spacing w:after="0" w:line="240" w:lineRule="auto"/>
        <w:ind w:left="1134"/>
        <w:jc w:val="both"/>
        <w:rPr>
          <w:rFonts w:ascii="Arial" w:hAnsi="Arial" w:cs="Arial"/>
          <w:i/>
          <w:sz w:val="24"/>
          <w:szCs w:val="24"/>
          <w:lang w:eastAsia="en-US"/>
        </w:rPr>
      </w:pPr>
      <w:r w:rsidRPr="00CC3F81">
        <w:rPr>
          <w:rFonts w:ascii="Arial" w:hAnsi="Arial" w:cs="Arial"/>
          <w:i/>
          <w:sz w:val="24"/>
          <w:szCs w:val="24"/>
          <w:lang w:eastAsia="en-US"/>
        </w:rPr>
        <w:t>Bem por isso, a Lei nº 11.719/2008, ao reformular a ordem ritual nos procedimentos penais,</w:t>
      </w:r>
      <w:r w:rsidR="00845B78">
        <w:rPr>
          <w:rFonts w:ascii="Arial" w:hAnsi="Arial" w:cs="Arial"/>
          <w:i/>
          <w:sz w:val="24"/>
          <w:szCs w:val="24"/>
          <w:lang w:eastAsia="en-US"/>
        </w:rPr>
        <w:t xml:space="preserve"> </w:t>
      </w:r>
      <w:r w:rsidRPr="00CC3F81">
        <w:rPr>
          <w:rFonts w:ascii="Arial" w:hAnsi="Arial" w:cs="Arial"/>
          <w:i/>
          <w:sz w:val="24"/>
          <w:szCs w:val="24"/>
          <w:lang w:eastAsia="en-US"/>
        </w:rPr>
        <w:t>instituiu fase preliminar caracterizada pela instauração de contraditório prévio, apto a ensejar, ao</w:t>
      </w:r>
      <w:r w:rsidR="00845B78">
        <w:rPr>
          <w:rFonts w:ascii="Arial" w:hAnsi="Arial" w:cs="Arial"/>
          <w:i/>
          <w:sz w:val="24"/>
          <w:szCs w:val="24"/>
          <w:lang w:eastAsia="en-US"/>
        </w:rPr>
        <w:t xml:space="preserve"> </w:t>
      </w:r>
      <w:r w:rsidRPr="00CC3F81">
        <w:rPr>
          <w:rFonts w:ascii="Arial" w:hAnsi="Arial" w:cs="Arial"/>
          <w:i/>
          <w:sz w:val="24"/>
          <w:szCs w:val="24"/>
          <w:lang w:eastAsia="en-US"/>
        </w:rPr>
        <w:t>acusado, a possibilidade de arguir questões formais, de discutir o pr</w:t>
      </w:r>
      <w:r w:rsidR="00845B78">
        <w:rPr>
          <w:rFonts w:ascii="Arial" w:hAnsi="Arial" w:cs="Arial"/>
          <w:i/>
          <w:sz w:val="24"/>
          <w:szCs w:val="24"/>
          <w:lang w:eastAsia="en-US"/>
        </w:rPr>
        <w:t>ó</w:t>
      </w:r>
      <w:r w:rsidRPr="00CC3F81">
        <w:rPr>
          <w:rFonts w:ascii="Arial" w:hAnsi="Arial" w:cs="Arial"/>
          <w:i/>
          <w:sz w:val="24"/>
          <w:szCs w:val="24"/>
          <w:lang w:eastAsia="en-US"/>
        </w:rPr>
        <w:t>prio fundo da acusação penal e</w:t>
      </w:r>
      <w:r w:rsidR="00845B78">
        <w:rPr>
          <w:rFonts w:ascii="Arial" w:hAnsi="Arial" w:cs="Arial"/>
          <w:i/>
          <w:sz w:val="24"/>
          <w:szCs w:val="24"/>
          <w:lang w:eastAsia="en-US"/>
        </w:rPr>
        <w:t xml:space="preserve"> </w:t>
      </w:r>
      <w:r w:rsidRPr="00CC3F81">
        <w:rPr>
          <w:rFonts w:ascii="Arial" w:hAnsi="Arial" w:cs="Arial"/>
          <w:i/>
          <w:sz w:val="24"/>
          <w:szCs w:val="24"/>
          <w:lang w:eastAsia="en-US"/>
        </w:rPr>
        <w:t>de alegar tudo o que possa interessar à sua defesa, além de oferecer justificações, de produzir</w:t>
      </w:r>
      <w:r w:rsidR="00845B78">
        <w:rPr>
          <w:rFonts w:ascii="Arial" w:hAnsi="Arial" w:cs="Arial"/>
          <w:i/>
          <w:sz w:val="24"/>
          <w:szCs w:val="24"/>
          <w:lang w:eastAsia="en-US"/>
        </w:rPr>
        <w:t xml:space="preserve"> </w:t>
      </w:r>
      <w:r w:rsidRPr="00CC3F81">
        <w:rPr>
          <w:rFonts w:ascii="Arial" w:hAnsi="Arial" w:cs="Arial"/>
          <w:i/>
          <w:sz w:val="24"/>
          <w:szCs w:val="24"/>
          <w:lang w:eastAsia="en-US"/>
        </w:rPr>
        <w:t xml:space="preserve">documentos, de especificar as provas pretendidas e de arrolar testemunhas, sem </w:t>
      </w:r>
      <w:r w:rsidRPr="00CC3F81">
        <w:rPr>
          <w:rFonts w:ascii="Arial" w:hAnsi="Arial" w:cs="Arial"/>
          <w:i/>
          <w:sz w:val="24"/>
          <w:szCs w:val="24"/>
          <w:lang w:eastAsia="en-US"/>
        </w:rPr>
        <w:lastRenderedPageBreak/>
        <w:t>prejuízo de outras</w:t>
      </w:r>
      <w:r w:rsidR="00845B78">
        <w:rPr>
          <w:rFonts w:ascii="Arial" w:hAnsi="Arial" w:cs="Arial"/>
          <w:i/>
          <w:sz w:val="24"/>
          <w:szCs w:val="24"/>
          <w:lang w:eastAsia="en-US"/>
        </w:rPr>
        <w:t xml:space="preserve"> </w:t>
      </w:r>
      <w:r w:rsidRPr="00CC3F81">
        <w:rPr>
          <w:rFonts w:ascii="Arial" w:hAnsi="Arial" w:cs="Arial"/>
          <w:i/>
          <w:sz w:val="24"/>
          <w:szCs w:val="24"/>
          <w:lang w:eastAsia="en-US"/>
        </w:rPr>
        <w:t>medidas ou providências que repute imprescindíveis.</w:t>
      </w:r>
    </w:p>
    <w:p w:rsidR="00B67E63" w:rsidRPr="00CC3F81" w:rsidRDefault="00B67E63" w:rsidP="00CC3F81">
      <w:pPr>
        <w:autoSpaceDE w:val="0"/>
        <w:autoSpaceDN w:val="0"/>
        <w:adjustRightInd w:val="0"/>
        <w:spacing w:after="0" w:line="240" w:lineRule="auto"/>
        <w:ind w:left="1134"/>
        <w:jc w:val="both"/>
        <w:rPr>
          <w:rFonts w:ascii="Arial" w:hAnsi="Arial" w:cs="Arial"/>
          <w:i/>
          <w:sz w:val="24"/>
          <w:szCs w:val="24"/>
          <w:lang w:eastAsia="en-US"/>
        </w:rPr>
      </w:pPr>
      <w:r w:rsidRPr="00CC3F81">
        <w:rPr>
          <w:rFonts w:ascii="Arial" w:hAnsi="Arial" w:cs="Arial"/>
          <w:i/>
          <w:sz w:val="24"/>
          <w:szCs w:val="24"/>
          <w:lang w:eastAsia="en-US"/>
        </w:rPr>
        <w:t>Com tais inovações, o Estado observou tendência já consagrada em legislação anterior, como a Lei</w:t>
      </w:r>
      <w:r w:rsidR="00845B78">
        <w:rPr>
          <w:rFonts w:ascii="Arial" w:hAnsi="Arial" w:cs="Arial"/>
          <w:i/>
          <w:sz w:val="24"/>
          <w:szCs w:val="24"/>
          <w:lang w:eastAsia="en-US"/>
        </w:rPr>
        <w:t xml:space="preserve"> </w:t>
      </w:r>
      <w:r w:rsidRPr="00CC3F81">
        <w:rPr>
          <w:rFonts w:ascii="Arial" w:hAnsi="Arial" w:cs="Arial"/>
          <w:i/>
          <w:sz w:val="24"/>
          <w:szCs w:val="24"/>
          <w:lang w:eastAsia="en-US"/>
        </w:rPr>
        <w:t>nº 10.409/2002 (art. 38) e a Lei nº 11.343/2006 (art. 55), cujas prescrições viabilizaram a prática de</w:t>
      </w:r>
      <w:r w:rsidR="00845B78">
        <w:rPr>
          <w:rFonts w:ascii="Arial" w:hAnsi="Arial" w:cs="Arial"/>
          <w:i/>
          <w:sz w:val="24"/>
          <w:szCs w:val="24"/>
          <w:lang w:eastAsia="en-US"/>
        </w:rPr>
        <w:t xml:space="preserve"> </w:t>
      </w:r>
      <w:r w:rsidRPr="00CC3F81">
        <w:rPr>
          <w:rFonts w:ascii="Arial" w:hAnsi="Arial" w:cs="Arial"/>
          <w:i/>
          <w:sz w:val="24"/>
          <w:szCs w:val="24"/>
          <w:lang w:eastAsia="en-US"/>
        </w:rPr>
        <w:t>verdadeiro contraditório prévio no qual o acusado poderia invocar todas as razões de defesa – tanto</w:t>
      </w:r>
      <w:r w:rsidR="00845B78">
        <w:rPr>
          <w:rFonts w:ascii="Arial" w:hAnsi="Arial" w:cs="Arial"/>
          <w:i/>
          <w:sz w:val="24"/>
          <w:szCs w:val="24"/>
          <w:lang w:eastAsia="en-US"/>
        </w:rPr>
        <w:t xml:space="preserve"> </w:t>
      </w:r>
      <w:r w:rsidRPr="00CC3F81">
        <w:rPr>
          <w:rFonts w:ascii="Arial" w:hAnsi="Arial" w:cs="Arial"/>
          <w:i/>
          <w:sz w:val="24"/>
          <w:szCs w:val="24"/>
          <w:lang w:eastAsia="en-US"/>
        </w:rPr>
        <w:t>as de natureza formal quanto as de caráter material.</w:t>
      </w:r>
    </w:p>
    <w:p w:rsidR="00B67E63" w:rsidRPr="00CC3F81" w:rsidRDefault="00B67E63" w:rsidP="00CC3F81">
      <w:pPr>
        <w:autoSpaceDE w:val="0"/>
        <w:autoSpaceDN w:val="0"/>
        <w:adjustRightInd w:val="0"/>
        <w:spacing w:after="0" w:line="240" w:lineRule="auto"/>
        <w:ind w:left="1134"/>
        <w:jc w:val="both"/>
        <w:rPr>
          <w:rFonts w:ascii="Arial" w:hAnsi="Arial" w:cs="Arial"/>
          <w:i/>
          <w:sz w:val="24"/>
          <w:szCs w:val="24"/>
          <w:lang w:eastAsia="en-US"/>
        </w:rPr>
      </w:pPr>
      <w:r w:rsidRPr="00CC3F81">
        <w:rPr>
          <w:rFonts w:ascii="Arial" w:hAnsi="Arial" w:cs="Arial"/>
          <w:i/>
          <w:sz w:val="24"/>
          <w:szCs w:val="24"/>
          <w:lang w:eastAsia="en-US"/>
        </w:rPr>
        <w:t>Tenho por relevante, por isso mesmo, esse aspecto da questão, uma vez que o magistrado federal</w:t>
      </w:r>
      <w:r w:rsidR="00845B78">
        <w:rPr>
          <w:rFonts w:ascii="Arial" w:hAnsi="Arial" w:cs="Arial"/>
          <w:i/>
          <w:sz w:val="24"/>
          <w:szCs w:val="24"/>
          <w:lang w:eastAsia="en-US"/>
        </w:rPr>
        <w:t xml:space="preserve"> </w:t>
      </w:r>
      <w:r w:rsidRPr="00CC3F81">
        <w:rPr>
          <w:rFonts w:ascii="Arial" w:hAnsi="Arial" w:cs="Arial"/>
          <w:i/>
          <w:sz w:val="24"/>
          <w:szCs w:val="24"/>
          <w:lang w:eastAsia="en-US"/>
        </w:rPr>
        <w:t>de primeiro grau, no caso em exame, ordenou a citação do denunciado, ora paciente, para que</w:t>
      </w:r>
      <w:r w:rsidR="00845B78">
        <w:rPr>
          <w:rFonts w:ascii="Arial" w:hAnsi="Arial" w:cs="Arial"/>
          <w:i/>
          <w:sz w:val="24"/>
          <w:szCs w:val="24"/>
          <w:lang w:eastAsia="en-US"/>
        </w:rPr>
        <w:t xml:space="preserve"> </w:t>
      </w:r>
      <w:r w:rsidRPr="00CC3F81">
        <w:rPr>
          <w:rFonts w:ascii="Arial" w:hAnsi="Arial" w:cs="Arial"/>
          <w:i/>
          <w:sz w:val="24"/>
          <w:szCs w:val="24"/>
          <w:lang w:eastAsia="en-US"/>
        </w:rPr>
        <w:t>oferecesse resposta à denúncia do Ministério Público Federal, ensejando, assim, a possibilidade do</w:t>
      </w:r>
      <w:r w:rsidR="00845B78">
        <w:rPr>
          <w:rFonts w:ascii="Arial" w:hAnsi="Arial" w:cs="Arial"/>
          <w:i/>
          <w:sz w:val="24"/>
          <w:szCs w:val="24"/>
          <w:lang w:eastAsia="en-US"/>
        </w:rPr>
        <w:t xml:space="preserve"> </w:t>
      </w:r>
      <w:r w:rsidRPr="00CC3F81">
        <w:rPr>
          <w:rFonts w:ascii="Arial" w:hAnsi="Arial" w:cs="Arial"/>
          <w:i/>
          <w:sz w:val="24"/>
          <w:szCs w:val="24"/>
          <w:lang w:eastAsia="en-US"/>
        </w:rPr>
        <w:t xml:space="preserve">contraditório prévio a que se referem os </w:t>
      </w:r>
      <w:proofErr w:type="spellStart"/>
      <w:r w:rsidRPr="00CC3F81">
        <w:rPr>
          <w:rFonts w:ascii="Arial" w:hAnsi="Arial" w:cs="Arial"/>
          <w:i/>
          <w:sz w:val="24"/>
          <w:szCs w:val="24"/>
          <w:lang w:eastAsia="en-US"/>
        </w:rPr>
        <w:t>arts</w:t>
      </w:r>
      <w:proofErr w:type="spellEnd"/>
      <w:r w:rsidRPr="00CC3F81">
        <w:rPr>
          <w:rFonts w:ascii="Arial" w:hAnsi="Arial" w:cs="Arial"/>
          <w:i/>
          <w:sz w:val="24"/>
          <w:szCs w:val="24"/>
          <w:lang w:eastAsia="en-US"/>
        </w:rPr>
        <w:t>. 396 e 396-A do Código de Processo Penal, o que</w:t>
      </w:r>
      <w:r w:rsidR="00845B78">
        <w:rPr>
          <w:rFonts w:ascii="Arial" w:hAnsi="Arial" w:cs="Arial"/>
          <w:i/>
          <w:sz w:val="24"/>
          <w:szCs w:val="24"/>
          <w:lang w:eastAsia="en-US"/>
        </w:rPr>
        <w:t xml:space="preserve"> </w:t>
      </w:r>
      <w:r w:rsidRPr="00CC3F81">
        <w:rPr>
          <w:rFonts w:ascii="Arial" w:hAnsi="Arial" w:cs="Arial"/>
          <w:i/>
          <w:sz w:val="24"/>
          <w:szCs w:val="24"/>
          <w:lang w:eastAsia="en-US"/>
        </w:rPr>
        <w:t>afasta a alegação de prejuízo para a defesa do acusado.</w:t>
      </w:r>
    </w:p>
    <w:p w:rsidR="00B67E63" w:rsidRDefault="00B67E63" w:rsidP="00CC3F81">
      <w:pPr>
        <w:autoSpaceDE w:val="0"/>
        <w:autoSpaceDN w:val="0"/>
        <w:adjustRightInd w:val="0"/>
        <w:spacing w:after="0" w:line="240" w:lineRule="auto"/>
        <w:ind w:left="1134"/>
        <w:jc w:val="both"/>
        <w:rPr>
          <w:rFonts w:ascii="Arial" w:hAnsi="Arial" w:cs="Arial"/>
          <w:i/>
          <w:sz w:val="24"/>
          <w:szCs w:val="24"/>
          <w:lang w:eastAsia="en-US"/>
        </w:rPr>
      </w:pPr>
      <w:r w:rsidRPr="00CC3F81">
        <w:rPr>
          <w:rFonts w:ascii="Arial" w:hAnsi="Arial" w:cs="Arial"/>
          <w:i/>
          <w:sz w:val="24"/>
          <w:szCs w:val="24"/>
          <w:lang w:eastAsia="en-US"/>
        </w:rPr>
        <w:t>É que, tal como anteriormente enfatizado, esse novo modelo ritual tornou lícita a formulação, em</w:t>
      </w:r>
      <w:r w:rsidR="00845B78">
        <w:rPr>
          <w:rFonts w:ascii="Arial" w:hAnsi="Arial" w:cs="Arial"/>
          <w:i/>
          <w:sz w:val="24"/>
          <w:szCs w:val="24"/>
          <w:lang w:eastAsia="en-US"/>
        </w:rPr>
        <w:t xml:space="preserve"> </w:t>
      </w:r>
      <w:r w:rsidRPr="00CC3F81">
        <w:rPr>
          <w:rFonts w:ascii="Arial" w:hAnsi="Arial" w:cs="Arial"/>
          <w:i/>
          <w:sz w:val="24"/>
          <w:szCs w:val="24"/>
          <w:lang w:eastAsia="en-US"/>
        </w:rPr>
        <w:t>mencionada resposta prévia, de todas as razões, de fato ou de direito, inclusive aquelas pertinentes</w:t>
      </w:r>
      <w:r w:rsidR="00845B78">
        <w:rPr>
          <w:rFonts w:ascii="Arial" w:hAnsi="Arial" w:cs="Arial"/>
          <w:i/>
          <w:sz w:val="24"/>
          <w:szCs w:val="24"/>
          <w:lang w:eastAsia="en-US"/>
        </w:rPr>
        <w:t xml:space="preserve"> </w:t>
      </w:r>
      <w:r w:rsidRPr="00CC3F81">
        <w:rPr>
          <w:rFonts w:ascii="Arial" w:hAnsi="Arial" w:cs="Arial"/>
          <w:i/>
          <w:sz w:val="24"/>
          <w:szCs w:val="24"/>
          <w:lang w:eastAsia="en-US"/>
        </w:rPr>
        <w:t>ao mérito da causa, reputadas essenciais ao pleno exercício da defesa pelo acusado, como assinala,</w:t>
      </w:r>
      <w:r w:rsidR="00845B78">
        <w:rPr>
          <w:rFonts w:ascii="Arial" w:hAnsi="Arial" w:cs="Arial"/>
          <w:i/>
          <w:sz w:val="24"/>
          <w:szCs w:val="24"/>
          <w:lang w:eastAsia="en-US"/>
        </w:rPr>
        <w:t xml:space="preserve"> </w:t>
      </w:r>
      <w:r w:rsidRPr="00CC3F81">
        <w:rPr>
          <w:rFonts w:ascii="Arial" w:hAnsi="Arial" w:cs="Arial"/>
          <w:i/>
          <w:sz w:val="24"/>
          <w:szCs w:val="24"/>
          <w:lang w:eastAsia="en-US"/>
        </w:rPr>
        <w:t>com absoluta correção, o magistério da doutrina (EUGÊNIO PACELLI DE OLIVEIRA e</w:t>
      </w:r>
      <w:r w:rsidR="00845B78">
        <w:rPr>
          <w:rFonts w:ascii="Arial" w:hAnsi="Arial" w:cs="Arial"/>
          <w:i/>
          <w:sz w:val="24"/>
          <w:szCs w:val="24"/>
          <w:lang w:eastAsia="en-US"/>
        </w:rPr>
        <w:t xml:space="preserve"> </w:t>
      </w:r>
      <w:r w:rsidRPr="00CC3F81">
        <w:rPr>
          <w:rFonts w:ascii="Arial" w:hAnsi="Arial" w:cs="Arial"/>
          <w:i/>
          <w:sz w:val="24"/>
          <w:szCs w:val="24"/>
          <w:lang w:eastAsia="en-US"/>
        </w:rPr>
        <w:t xml:space="preserve">DOUGLAS FISCHER, “Comentários ao Código de Processo Penal e sua Jurisprudência”, p.869/870, 2ª ed., 2011, </w:t>
      </w:r>
      <w:proofErr w:type="spellStart"/>
      <w:r w:rsidRPr="00CC3F81">
        <w:rPr>
          <w:rFonts w:ascii="Arial" w:hAnsi="Arial" w:cs="Arial"/>
          <w:i/>
          <w:sz w:val="24"/>
          <w:szCs w:val="24"/>
          <w:lang w:eastAsia="en-US"/>
        </w:rPr>
        <w:t>Lumen</w:t>
      </w:r>
      <w:proofErr w:type="spellEnd"/>
      <w:r w:rsidRPr="00CC3F81">
        <w:rPr>
          <w:rFonts w:ascii="Arial" w:hAnsi="Arial" w:cs="Arial"/>
          <w:i/>
          <w:sz w:val="24"/>
          <w:szCs w:val="24"/>
          <w:lang w:eastAsia="en-US"/>
        </w:rPr>
        <w:t xml:space="preserve"> Juris; PEDRO HENRIQUE DEMERCIAN e JORGE ASSAF</w:t>
      </w:r>
      <w:r w:rsidR="00845B78">
        <w:rPr>
          <w:rFonts w:ascii="Arial" w:hAnsi="Arial" w:cs="Arial"/>
          <w:i/>
          <w:sz w:val="24"/>
          <w:szCs w:val="24"/>
          <w:lang w:eastAsia="en-US"/>
        </w:rPr>
        <w:t xml:space="preserve"> </w:t>
      </w:r>
      <w:r w:rsidRPr="00CC3F81">
        <w:rPr>
          <w:rFonts w:ascii="Arial" w:hAnsi="Arial" w:cs="Arial"/>
          <w:i/>
          <w:sz w:val="24"/>
          <w:szCs w:val="24"/>
          <w:lang w:eastAsia="en-US"/>
        </w:rPr>
        <w:t>MALULY, “Curso de Processo Penal”, p. 374/375, 4ª ed., 2009, Forense; ANDREY BORGES DE</w:t>
      </w:r>
      <w:r w:rsidR="00845B78">
        <w:rPr>
          <w:rFonts w:ascii="Arial" w:hAnsi="Arial" w:cs="Arial"/>
          <w:i/>
          <w:sz w:val="24"/>
          <w:szCs w:val="24"/>
          <w:lang w:eastAsia="en-US"/>
        </w:rPr>
        <w:t xml:space="preserve"> </w:t>
      </w:r>
      <w:r w:rsidRPr="00CC3F81">
        <w:rPr>
          <w:rFonts w:ascii="Arial" w:hAnsi="Arial" w:cs="Arial"/>
          <w:i/>
          <w:sz w:val="24"/>
          <w:szCs w:val="24"/>
          <w:lang w:eastAsia="en-US"/>
        </w:rPr>
        <w:t>MENDONÇA, “Nova Reforma do Código de Processo Penal”, p. 260/264, 2ª ed., 2009, Método,</w:t>
      </w:r>
      <w:r w:rsidR="00845B78">
        <w:rPr>
          <w:rFonts w:ascii="Arial" w:hAnsi="Arial" w:cs="Arial"/>
          <w:i/>
          <w:sz w:val="24"/>
          <w:szCs w:val="24"/>
          <w:lang w:eastAsia="en-US"/>
        </w:rPr>
        <w:t xml:space="preserve"> </w:t>
      </w:r>
      <w:r w:rsidRPr="00CC3F81">
        <w:rPr>
          <w:rFonts w:ascii="Arial" w:hAnsi="Arial" w:cs="Arial"/>
          <w:i/>
          <w:sz w:val="24"/>
          <w:szCs w:val="24"/>
          <w:lang w:eastAsia="en-US"/>
        </w:rPr>
        <w:t>v.g.).</w:t>
      </w:r>
      <w:r w:rsidR="00845B78">
        <w:rPr>
          <w:rFonts w:ascii="Arial" w:hAnsi="Arial" w:cs="Arial"/>
          <w:i/>
          <w:sz w:val="24"/>
          <w:szCs w:val="24"/>
          <w:lang w:eastAsia="en-US"/>
        </w:rPr>
        <w:t>”</w:t>
      </w:r>
    </w:p>
    <w:p w:rsidR="00845B78" w:rsidRPr="00CC3F81" w:rsidRDefault="00845B78" w:rsidP="00CC3F81">
      <w:pPr>
        <w:autoSpaceDE w:val="0"/>
        <w:autoSpaceDN w:val="0"/>
        <w:adjustRightInd w:val="0"/>
        <w:spacing w:after="0" w:line="240" w:lineRule="auto"/>
        <w:ind w:left="1134"/>
        <w:jc w:val="both"/>
        <w:rPr>
          <w:rFonts w:ascii="Arial" w:hAnsi="Arial" w:cs="Arial"/>
          <w:i/>
          <w:sz w:val="24"/>
          <w:szCs w:val="24"/>
          <w:lang w:eastAsia="en-US"/>
        </w:rPr>
      </w:pP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Conclui-se que, se o objetivo da fase de notificação preliminar e do recebimento da ação de</w:t>
      </w:r>
      <w:r w:rsidR="00845B78">
        <w:rPr>
          <w:rFonts w:ascii="Arial" w:hAnsi="Arial" w:cs="Arial"/>
          <w:sz w:val="24"/>
          <w:szCs w:val="24"/>
          <w:lang w:eastAsia="en-US"/>
        </w:rPr>
        <w:t xml:space="preserve"> </w:t>
      </w:r>
      <w:r w:rsidRPr="00B67E63">
        <w:rPr>
          <w:rFonts w:ascii="Arial" w:hAnsi="Arial" w:cs="Arial"/>
          <w:sz w:val="24"/>
          <w:szCs w:val="24"/>
          <w:lang w:eastAsia="en-US"/>
        </w:rPr>
        <w:t>improbidade administrativa é oportunizar o contraditório prévio e evitar a tramitação de ações</w:t>
      </w:r>
      <w:r w:rsidR="00845B78">
        <w:rPr>
          <w:rFonts w:ascii="Arial" w:hAnsi="Arial" w:cs="Arial"/>
          <w:sz w:val="24"/>
          <w:szCs w:val="24"/>
          <w:lang w:eastAsia="en-US"/>
        </w:rPr>
        <w:t xml:space="preserve"> </w:t>
      </w:r>
      <w:r w:rsidRPr="00B67E63">
        <w:rPr>
          <w:rFonts w:ascii="Arial" w:hAnsi="Arial" w:cs="Arial"/>
          <w:sz w:val="24"/>
          <w:szCs w:val="24"/>
          <w:lang w:eastAsia="en-US"/>
        </w:rPr>
        <w:t>temerárias, encontra-se ele integralmente atendido pelo estabelecimento de uma fase de análise</w:t>
      </w:r>
      <w:r w:rsidR="00845B78">
        <w:rPr>
          <w:rFonts w:ascii="Arial" w:hAnsi="Arial" w:cs="Arial"/>
          <w:sz w:val="24"/>
          <w:szCs w:val="24"/>
          <w:lang w:eastAsia="en-US"/>
        </w:rPr>
        <w:t xml:space="preserve"> </w:t>
      </w:r>
      <w:r w:rsidRPr="00B67E63">
        <w:rPr>
          <w:rFonts w:ascii="Arial" w:hAnsi="Arial" w:cs="Arial"/>
          <w:sz w:val="24"/>
          <w:szCs w:val="24"/>
          <w:lang w:eastAsia="en-US"/>
        </w:rPr>
        <w:t>preliminar da viabilidade da ação após a citação, tal como previsto na aludida reforma do Código de</w:t>
      </w:r>
      <w:r w:rsidR="00845B78">
        <w:rPr>
          <w:rFonts w:ascii="Arial" w:hAnsi="Arial" w:cs="Arial"/>
          <w:sz w:val="24"/>
          <w:szCs w:val="24"/>
          <w:lang w:eastAsia="en-US"/>
        </w:rPr>
        <w:t xml:space="preserve"> </w:t>
      </w:r>
      <w:r w:rsidRPr="00B67E63">
        <w:rPr>
          <w:rFonts w:ascii="Arial" w:hAnsi="Arial" w:cs="Arial"/>
          <w:sz w:val="24"/>
          <w:szCs w:val="24"/>
          <w:lang w:eastAsia="en-US"/>
        </w:rPr>
        <w:t>Processo Penal, daí que se mostra absolutamente desnecessário e prejudicial ao trâmite da ação</w:t>
      </w:r>
      <w:r w:rsidR="00845B78">
        <w:rPr>
          <w:rFonts w:ascii="Arial" w:hAnsi="Arial" w:cs="Arial"/>
          <w:sz w:val="24"/>
          <w:szCs w:val="24"/>
          <w:lang w:eastAsia="en-US"/>
        </w:rPr>
        <w:t xml:space="preserve"> </w:t>
      </w:r>
      <w:r w:rsidRPr="00B67E63">
        <w:rPr>
          <w:rFonts w:ascii="Arial" w:hAnsi="Arial" w:cs="Arial"/>
          <w:sz w:val="24"/>
          <w:szCs w:val="24"/>
          <w:lang w:eastAsia="en-US"/>
        </w:rPr>
        <w:t>proceder a duas notificações pessoais, uma antes e outra após a decisão de recebimento.</w:t>
      </w:r>
    </w:p>
    <w:p w:rsidR="00B67E63" w:rsidRPr="00B67E63"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A modificação ora pretendida, portanto, exclui do rito procedimental da ação de</w:t>
      </w:r>
      <w:r w:rsidR="00845B78">
        <w:rPr>
          <w:rFonts w:ascii="Arial" w:hAnsi="Arial" w:cs="Arial"/>
          <w:sz w:val="24"/>
          <w:szCs w:val="24"/>
          <w:lang w:eastAsia="en-US"/>
        </w:rPr>
        <w:t xml:space="preserve"> </w:t>
      </w:r>
      <w:r w:rsidRPr="00B67E63">
        <w:rPr>
          <w:rFonts w:ascii="Arial" w:hAnsi="Arial" w:cs="Arial"/>
          <w:sz w:val="24"/>
          <w:szCs w:val="24"/>
          <w:lang w:eastAsia="en-US"/>
        </w:rPr>
        <w:t>improbidade administrativa o arcaico procedimento de notificação preliminar, de recebimento e de</w:t>
      </w:r>
      <w:r w:rsidR="00845B78">
        <w:rPr>
          <w:rFonts w:ascii="Arial" w:hAnsi="Arial" w:cs="Arial"/>
          <w:sz w:val="24"/>
          <w:szCs w:val="24"/>
          <w:lang w:eastAsia="en-US"/>
        </w:rPr>
        <w:t xml:space="preserve"> </w:t>
      </w:r>
      <w:r w:rsidRPr="00B67E63">
        <w:rPr>
          <w:rFonts w:ascii="Arial" w:hAnsi="Arial" w:cs="Arial"/>
          <w:sz w:val="24"/>
          <w:szCs w:val="24"/>
          <w:lang w:eastAsia="en-US"/>
        </w:rPr>
        <w:t>citação pessoal, o qual contribui, em larga escala, para a morosidade do processo judicial de</w:t>
      </w:r>
      <w:r w:rsidR="00845B78">
        <w:rPr>
          <w:rFonts w:ascii="Arial" w:hAnsi="Arial" w:cs="Arial"/>
          <w:sz w:val="24"/>
          <w:szCs w:val="24"/>
          <w:lang w:eastAsia="en-US"/>
        </w:rPr>
        <w:t xml:space="preserve"> </w:t>
      </w:r>
      <w:r w:rsidRPr="00B67E63">
        <w:rPr>
          <w:rFonts w:ascii="Arial" w:hAnsi="Arial" w:cs="Arial"/>
          <w:sz w:val="24"/>
          <w:szCs w:val="24"/>
          <w:lang w:eastAsia="en-US"/>
        </w:rPr>
        <w:t xml:space="preserve">responsabilização e, em última análise, para a impunidade em razão da </w:t>
      </w:r>
      <w:proofErr w:type="spellStart"/>
      <w:r w:rsidRPr="00B67E63">
        <w:rPr>
          <w:rFonts w:ascii="Arial" w:hAnsi="Arial" w:cs="Arial"/>
          <w:sz w:val="24"/>
          <w:szCs w:val="24"/>
          <w:lang w:eastAsia="en-US"/>
        </w:rPr>
        <w:t>inefetividade</w:t>
      </w:r>
      <w:proofErr w:type="spellEnd"/>
      <w:r w:rsidRPr="00B67E63">
        <w:rPr>
          <w:rFonts w:ascii="Arial" w:hAnsi="Arial" w:cs="Arial"/>
          <w:sz w:val="24"/>
          <w:szCs w:val="24"/>
          <w:lang w:eastAsia="en-US"/>
        </w:rPr>
        <w:t xml:space="preserve"> jurídico-social</w:t>
      </w:r>
      <w:r w:rsidR="00845B78">
        <w:rPr>
          <w:rFonts w:ascii="Arial" w:hAnsi="Arial" w:cs="Arial"/>
          <w:sz w:val="24"/>
          <w:szCs w:val="24"/>
          <w:lang w:eastAsia="en-US"/>
        </w:rPr>
        <w:t xml:space="preserve"> </w:t>
      </w:r>
      <w:r w:rsidRPr="00B67E63">
        <w:rPr>
          <w:rFonts w:ascii="Arial" w:hAnsi="Arial" w:cs="Arial"/>
          <w:sz w:val="24"/>
          <w:szCs w:val="24"/>
          <w:lang w:eastAsia="en-US"/>
        </w:rPr>
        <w:t>do instituto como meio de combate à corrupção.</w:t>
      </w:r>
    </w:p>
    <w:p w:rsidR="00B43877"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Registre-se que a redação proposta procurou manter os termos já utilizados pela legislação</w:t>
      </w:r>
      <w:r w:rsidR="00845B78">
        <w:rPr>
          <w:rFonts w:ascii="Arial" w:hAnsi="Arial" w:cs="Arial"/>
          <w:sz w:val="24"/>
          <w:szCs w:val="24"/>
          <w:lang w:eastAsia="en-US"/>
        </w:rPr>
        <w:t xml:space="preserve"> </w:t>
      </w:r>
      <w:r w:rsidRPr="00B67E63">
        <w:rPr>
          <w:rFonts w:ascii="Arial" w:hAnsi="Arial" w:cs="Arial"/>
          <w:sz w:val="24"/>
          <w:szCs w:val="24"/>
          <w:lang w:eastAsia="en-US"/>
        </w:rPr>
        <w:t xml:space="preserve">atual, ainda que de técnica imprecisa, como forma de </w:t>
      </w:r>
    </w:p>
    <w:p w:rsidR="00B43877" w:rsidRDefault="00B43877" w:rsidP="00B43877">
      <w:pPr>
        <w:autoSpaceDE w:val="0"/>
        <w:autoSpaceDN w:val="0"/>
        <w:adjustRightInd w:val="0"/>
        <w:spacing w:after="0" w:line="240" w:lineRule="auto"/>
        <w:jc w:val="both"/>
        <w:rPr>
          <w:rFonts w:ascii="Arial" w:hAnsi="Arial" w:cs="Arial"/>
          <w:sz w:val="24"/>
          <w:szCs w:val="24"/>
          <w:lang w:eastAsia="en-US"/>
        </w:rPr>
      </w:pPr>
    </w:p>
    <w:p w:rsidR="00B43877" w:rsidRDefault="00B43877" w:rsidP="00B43877">
      <w:pPr>
        <w:autoSpaceDE w:val="0"/>
        <w:autoSpaceDN w:val="0"/>
        <w:adjustRightInd w:val="0"/>
        <w:spacing w:after="0" w:line="240" w:lineRule="auto"/>
        <w:jc w:val="both"/>
        <w:rPr>
          <w:rFonts w:ascii="Arial" w:hAnsi="Arial" w:cs="Arial"/>
          <w:sz w:val="24"/>
          <w:szCs w:val="24"/>
          <w:lang w:eastAsia="en-US"/>
        </w:rPr>
      </w:pPr>
    </w:p>
    <w:p w:rsidR="00B43877" w:rsidRDefault="00B43877" w:rsidP="00B43877">
      <w:pPr>
        <w:autoSpaceDE w:val="0"/>
        <w:autoSpaceDN w:val="0"/>
        <w:adjustRightInd w:val="0"/>
        <w:spacing w:after="0" w:line="240" w:lineRule="auto"/>
        <w:jc w:val="both"/>
        <w:rPr>
          <w:rFonts w:ascii="Arial" w:hAnsi="Arial" w:cs="Arial"/>
          <w:sz w:val="24"/>
          <w:szCs w:val="24"/>
          <w:lang w:eastAsia="en-US"/>
        </w:rPr>
      </w:pPr>
    </w:p>
    <w:p w:rsidR="00B67E63" w:rsidRPr="00B67E63" w:rsidRDefault="00B67E63" w:rsidP="00B43877">
      <w:pPr>
        <w:autoSpaceDE w:val="0"/>
        <w:autoSpaceDN w:val="0"/>
        <w:adjustRightInd w:val="0"/>
        <w:spacing w:after="0" w:line="240" w:lineRule="auto"/>
        <w:jc w:val="both"/>
        <w:rPr>
          <w:rFonts w:ascii="Arial" w:hAnsi="Arial" w:cs="Arial"/>
          <w:sz w:val="24"/>
          <w:szCs w:val="24"/>
          <w:lang w:eastAsia="en-US"/>
        </w:rPr>
      </w:pPr>
      <w:proofErr w:type="gramStart"/>
      <w:r w:rsidRPr="00B67E63">
        <w:rPr>
          <w:rFonts w:ascii="Arial" w:hAnsi="Arial" w:cs="Arial"/>
          <w:sz w:val="24"/>
          <w:szCs w:val="24"/>
          <w:lang w:eastAsia="en-US"/>
        </w:rPr>
        <w:t>evitar</w:t>
      </w:r>
      <w:proofErr w:type="gramEnd"/>
      <w:r w:rsidRPr="00B67E63">
        <w:rPr>
          <w:rFonts w:ascii="Arial" w:hAnsi="Arial" w:cs="Arial"/>
          <w:sz w:val="24"/>
          <w:szCs w:val="24"/>
          <w:lang w:eastAsia="en-US"/>
        </w:rPr>
        <w:t xml:space="preserve"> que alterações terminológicas suscitem</w:t>
      </w:r>
      <w:r w:rsidR="00845B78">
        <w:rPr>
          <w:rFonts w:ascii="Arial" w:hAnsi="Arial" w:cs="Arial"/>
          <w:sz w:val="24"/>
          <w:szCs w:val="24"/>
          <w:lang w:eastAsia="en-US"/>
        </w:rPr>
        <w:t xml:space="preserve"> </w:t>
      </w:r>
      <w:r w:rsidRPr="00B67E63">
        <w:rPr>
          <w:rFonts w:ascii="Arial" w:hAnsi="Arial" w:cs="Arial"/>
          <w:sz w:val="24"/>
          <w:szCs w:val="24"/>
          <w:lang w:eastAsia="en-US"/>
        </w:rPr>
        <w:t>novas dúvidas sobre a aplicação do novo procedimento.</w:t>
      </w:r>
    </w:p>
    <w:p w:rsidR="00845B78" w:rsidRDefault="00B67E63" w:rsidP="00B67E63">
      <w:pPr>
        <w:autoSpaceDE w:val="0"/>
        <w:autoSpaceDN w:val="0"/>
        <w:adjustRightInd w:val="0"/>
        <w:spacing w:after="0" w:line="240" w:lineRule="auto"/>
        <w:ind w:firstLine="709"/>
        <w:jc w:val="both"/>
        <w:rPr>
          <w:rFonts w:ascii="Arial" w:hAnsi="Arial" w:cs="Arial"/>
          <w:sz w:val="24"/>
          <w:szCs w:val="24"/>
          <w:lang w:eastAsia="en-US"/>
        </w:rPr>
      </w:pPr>
      <w:r w:rsidRPr="00B67E63">
        <w:rPr>
          <w:rFonts w:ascii="Arial" w:hAnsi="Arial" w:cs="Arial"/>
          <w:sz w:val="24"/>
          <w:szCs w:val="24"/>
          <w:lang w:eastAsia="en-US"/>
        </w:rPr>
        <w:t>Diga-se, por fim, que o § 10 do art. 17 da Lei nº 8.429/1992 recebeu novo teor, à</w:t>
      </w:r>
      <w:r w:rsidR="00845B78">
        <w:rPr>
          <w:rFonts w:ascii="Arial" w:hAnsi="Arial" w:cs="Arial"/>
          <w:sz w:val="24"/>
          <w:szCs w:val="24"/>
          <w:lang w:eastAsia="en-US"/>
        </w:rPr>
        <w:t xml:space="preserve"> </w:t>
      </w:r>
      <w:r w:rsidRPr="00B67E63">
        <w:rPr>
          <w:rFonts w:ascii="Arial" w:hAnsi="Arial" w:cs="Arial"/>
          <w:sz w:val="24"/>
          <w:szCs w:val="24"/>
          <w:lang w:eastAsia="en-US"/>
        </w:rPr>
        <w:t xml:space="preserve">semelhança do que já ocorre no art. 238, parágrafo único, do Código de Processo Civil, </w:t>
      </w:r>
      <w:r w:rsidR="00845B78">
        <w:rPr>
          <w:rFonts w:ascii="Arial" w:hAnsi="Arial" w:cs="Arial"/>
          <w:sz w:val="24"/>
          <w:szCs w:val="24"/>
          <w:lang w:eastAsia="en-US"/>
        </w:rPr>
        <w:t xml:space="preserve">adequando-se </w:t>
      </w:r>
      <w:r w:rsidRPr="00B67E63">
        <w:rPr>
          <w:rFonts w:ascii="Arial" w:hAnsi="Arial" w:cs="Arial"/>
          <w:sz w:val="24"/>
          <w:szCs w:val="24"/>
          <w:lang w:eastAsia="en-US"/>
        </w:rPr>
        <w:t>este último dispositivo aos ditames pretendidos pela alteração legislativa ora proposta.</w:t>
      </w:r>
    </w:p>
    <w:p w:rsidR="000571B4" w:rsidRPr="00D0235D" w:rsidRDefault="000571B4" w:rsidP="00B67E63">
      <w:pPr>
        <w:autoSpaceDE w:val="0"/>
        <w:autoSpaceDN w:val="0"/>
        <w:adjustRightInd w:val="0"/>
        <w:spacing w:after="0" w:line="240" w:lineRule="auto"/>
        <w:ind w:firstLine="709"/>
        <w:jc w:val="both"/>
        <w:rPr>
          <w:rFonts w:ascii="Arial" w:hAnsi="Arial" w:cs="Arial"/>
          <w:sz w:val="24"/>
          <w:szCs w:val="24"/>
        </w:rPr>
      </w:pPr>
      <w:r w:rsidRPr="00D0235D">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D67EB1">
      <w:pPr>
        <w:spacing w:after="0" w:line="360" w:lineRule="auto"/>
        <w:ind w:firstLine="709"/>
        <w:jc w:val="center"/>
        <w:rPr>
          <w:rFonts w:ascii="Arial" w:hAnsi="Arial" w:cs="Arial"/>
          <w:sz w:val="24"/>
          <w:szCs w:val="24"/>
        </w:rPr>
      </w:pP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B43877">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08F" w:rsidRDefault="005F508F" w:rsidP="009A4896">
      <w:pPr>
        <w:spacing w:after="0" w:line="240" w:lineRule="auto"/>
      </w:pPr>
      <w:r>
        <w:separator/>
      </w:r>
    </w:p>
  </w:endnote>
  <w:endnote w:type="continuationSeparator" w:id="0">
    <w:p w:rsidR="005F508F" w:rsidRDefault="005F508F"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08F" w:rsidRDefault="005F508F" w:rsidP="009A4896">
      <w:pPr>
        <w:spacing w:after="0" w:line="240" w:lineRule="auto"/>
      </w:pPr>
      <w:r>
        <w:separator/>
      </w:r>
    </w:p>
  </w:footnote>
  <w:footnote w:type="continuationSeparator" w:id="0">
    <w:p w:rsidR="005F508F" w:rsidRDefault="005F508F"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896" w:rsidRPr="009A4896" w:rsidRDefault="005F508F">
    <w:pPr>
      <w:pStyle w:val="Cabealho"/>
      <w:rPr>
        <w:b/>
        <w:sz w:val="28"/>
        <w:szCs w:val="2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6.2pt;margin-top:16.5pt;width:50.4pt;height:50.4pt;z-index:251658240;visibility:visible;mso-wrap-edited:f;mso-position-vertical-relative:page" o:allowincell="f">
          <v:imagedata r:id="rId1" o:title=""/>
          <w10:wrap anchory="page"/>
        </v:shape>
        <o:OLEObject Type="Embed" ProgID="Word.Picture.8" ShapeID="_x0000_s2049" DrawAspect="Content" ObjectID="_1511796564" r:id="rId2"/>
      </w:object>
    </w:r>
    <w:r w:rsidR="009A4896">
      <w:t xml:space="preserve">          </w:t>
    </w:r>
    <w:r w:rsidR="009A4896"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E788C"/>
    <w:rsid w:val="000F433C"/>
    <w:rsid w:val="00114F09"/>
    <w:rsid w:val="00115CBD"/>
    <w:rsid w:val="00143C31"/>
    <w:rsid w:val="00143F09"/>
    <w:rsid w:val="001956AA"/>
    <w:rsid w:val="00202632"/>
    <w:rsid w:val="00207F8E"/>
    <w:rsid w:val="002516FC"/>
    <w:rsid w:val="00253164"/>
    <w:rsid w:val="00267E3E"/>
    <w:rsid w:val="00281EFD"/>
    <w:rsid w:val="0029143A"/>
    <w:rsid w:val="002A4DDB"/>
    <w:rsid w:val="002B7BB3"/>
    <w:rsid w:val="00301DEE"/>
    <w:rsid w:val="003316D0"/>
    <w:rsid w:val="00351D86"/>
    <w:rsid w:val="00361C8F"/>
    <w:rsid w:val="003C3E8E"/>
    <w:rsid w:val="003E0F92"/>
    <w:rsid w:val="00403113"/>
    <w:rsid w:val="00416D3A"/>
    <w:rsid w:val="00461094"/>
    <w:rsid w:val="004A3DDE"/>
    <w:rsid w:val="004E553B"/>
    <w:rsid w:val="004F0AB8"/>
    <w:rsid w:val="004F694B"/>
    <w:rsid w:val="004F7754"/>
    <w:rsid w:val="00515AA9"/>
    <w:rsid w:val="0052174D"/>
    <w:rsid w:val="00540F87"/>
    <w:rsid w:val="0057288C"/>
    <w:rsid w:val="00575ABA"/>
    <w:rsid w:val="005F508F"/>
    <w:rsid w:val="006250B9"/>
    <w:rsid w:val="0062545A"/>
    <w:rsid w:val="00661915"/>
    <w:rsid w:val="00661DE2"/>
    <w:rsid w:val="006813E7"/>
    <w:rsid w:val="00687650"/>
    <w:rsid w:val="00693941"/>
    <w:rsid w:val="006B30DA"/>
    <w:rsid w:val="006B3672"/>
    <w:rsid w:val="006B3CC0"/>
    <w:rsid w:val="006E2600"/>
    <w:rsid w:val="00703E30"/>
    <w:rsid w:val="007A3EEF"/>
    <w:rsid w:val="007D652D"/>
    <w:rsid w:val="007E2A14"/>
    <w:rsid w:val="008263C7"/>
    <w:rsid w:val="00845B78"/>
    <w:rsid w:val="008607E7"/>
    <w:rsid w:val="00861F5A"/>
    <w:rsid w:val="0088036D"/>
    <w:rsid w:val="00890601"/>
    <w:rsid w:val="008A04F3"/>
    <w:rsid w:val="008A55DD"/>
    <w:rsid w:val="008C5151"/>
    <w:rsid w:val="008C5DC7"/>
    <w:rsid w:val="008C6A35"/>
    <w:rsid w:val="008D605F"/>
    <w:rsid w:val="00900DA7"/>
    <w:rsid w:val="00904F37"/>
    <w:rsid w:val="00907929"/>
    <w:rsid w:val="0091526B"/>
    <w:rsid w:val="00935317"/>
    <w:rsid w:val="00966641"/>
    <w:rsid w:val="00982FE8"/>
    <w:rsid w:val="009A4896"/>
    <w:rsid w:val="009B75EA"/>
    <w:rsid w:val="00A00107"/>
    <w:rsid w:val="00A05A8E"/>
    <w:rsid w:val="00A1289C"/>
    <w:rsid w:val="00A20C24"/>
    <w:rsid w:val="00A428C8"/>
    <w:rsid w:val="00A73C32"/>
    <w:rsid w:val="00A76818"/>
    <w:rsid w:val="00A80249"/>
    <w:rsid w:val="00A81B02"/>
    <w:rsid w:val="00A85EBC"/>
    <w:rsid w:val="00AA4A28"/>
    <w:rsid w:val="00AE36F2"/>
    <w:rsid w:val="00AF59FD"/>
    <w:rsid w:val="00B02B8F"/>
    <w:rsid w:val="00B11D18"/>
    <w:rsid w:val="00B205A8"/>
    <w:rsid w:val="00B22940"/>
    <w:rsid w:val="00B43877"/>
    <w:rsid w:val="00B546A1"/>
    <w:rsid w:val="00B65334"/>
    <w:rsid w:val="00B67E63"/>
    <w:rsid w:val="00B9056A"/>
    <w:rsid w:val="00BD2C24"/>
    <w:rsid w:val="00BE57DF"/>
    <w:rsid w:val="00BF5981"/>
    <w:rsid w:val="00C22DEA"/>
    <w:rsid w:val="00C668E4"/>
    <w:rsid w:val="00C9504D"/>
    <w:rsid w:val="00CC20BA"/>
    <w:rsid w:val="00CC3F81"/>
    <w:rsid w:val="00CC6097"/>
    <w:rsid w:val="00CD4319"/>
    <w:rsid w:val="00CD77C8"/>
    <w:rsid w:val="00CE7EE5"/>
    <w:rsid w:val="00D02154"/>
    <w:rsid w:val="00D0235D"/>
    <w:rsid w:val="00D250C4"/>
    <w:rsid w:val="00D264C4"/>
    <w:rsid w:val="00D43257"/>
    <w:rsid w:val="00D67EB1"/>
    <w:rsid w:val="00DA3794"/>
    <w:rsid w:val="00DE5705"/>
    <w:rsid w:val="00E2061A"/>
    <w:rsid w:val="00E37520"/>
    <w:rsid w:val="00E56C73"/>
    <w:rsid w:val="00E77150"/>
    <w:rsid w:val="00E813D9"/>
    <w:rsid w:val="00EA29DF"/>
    <w:rsid w:val="00EC6A9B"/>
    <w:rsid w:val="00EC7137"/>
    <w:rsid w:val="00EE20E7"/>
    <w:rsid w:val="00F236B0"/>
    <w:rsid w:val="00F2739F"/>
    <w:rsid w:val="00F5685C"/>
    <w:rsid w:val="00F56DB9"/>
    <w:rsid w:val="00F606C2"/>
    <w:rsid w:val="00F6133C"/>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E54FC535-3F35-4FD3-A25D-B43704BE2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401719">
      <w:bodyDiv w:val="1"/>
      <w:marLeft w:val="0"/>
      <w:marRight w:val="0"/>
      <w:marTop w:val="0"/>
      <w:marBottom w:val="0"/>
      <w:divBdr>
        <w:top w:val="none" w:sz="0" w:space="0" w:color="auto"/>
        <w:left w:val="none" w:sz="0" w:space="0" w:color="auto"/>
        <w:bottom w:val="none" w:sz="0" w:space="0" w:color="auto"/>
        <w:right w:val="none" w:sz="0" w:space="0" w:color="auto"/>
      </w:divBdr>
    </w:div>
    <w:div w:id="1304387510">
      <w:marLeft w:val="0"/>
      <w:marRight w:val="0"/>
      <w:marTop w:val="0"/>
      <w:marBottom w:val="0"/>
      <w:divBdr>
        <w:top w:val="none" w:sz="0" w:space="0" w:color="auto"/>
        <w:left w:val="none" w:sz="0" w:space="0" w:color="auto"/>
        <w:bottom w:val="none" w:sz="0" w:space="0" w:color="auto"/>
        <w:right w:val="none" w:sz="0" w:space="0" w:color="auto"/>
      </w:divBdr>
    </w:div>
    <w:div w:id="1304387511">
      <w:marLeft w:val="0"/>
      <w:marRight w:val="0"/>
      <w:marTop w:val="0"/>
      <w:marBottom w:val="0"/>
      <w:divBdr>
        <w:top w:val="none" w:sz="0" w:space="0" w:color="auto"/>
        <w:left w:val="none" w:sz="0" w:space="0" w:color="auto"/>
        <w:bottom w:val="none" w:sz="0" w:space="0" w:color="auto"/>
        <w:right w:val="none" w:sz="0" w:space="0" w:color="auto"/>
      </w:divBdr>
    </w:div>
    <w:div w:id="13043875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E705-D2B8-4F4A-B59A-05E7A9CAC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2757</Words>
  <Characters>14892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17614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3</cp:revision>
  <cp:lastPrinted>2015-03-12T13:04:00Z</cp:lastPrinted>
  <dcterms:created xsi:type="dcterms:W3CDTF">2015-12-09T18:52:00Z</dcterms:created>
  <dcterms:modified xsi:type="dcterms:W3CDTF">2015-12-16T20:43:00Z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1443266</vt:i4>
  </property>
</Properties>
</file>