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4F7754" w:rsidRDefault="009A4896" w:rsidP="009A4896">
      <w:pPr>
        <w:widowControl w:val="0"/>
        <w:autoSpaceDE w:val="0"/>
        <w:autoSpaceDN w:val="0"/>
        <w:adjustRightInd w:val="0"/>
        <w:spacing w:after="0" w:line="240" w:lineRule="auto"/>
        <w:jc w:val="center"/>
        <w:rPr>
          <w:rFonts w:ascii="Arial" w:hAnsi="Arial" w:cs="Arial"/>
          <w:b/>
          <w:bCs/>
          <w:sz w:val="28"/>
          <w:szCs w:val="28"/>
        </w:rPr>
      </w:pPr>
      <w:r w:rsidRPr="004F7754">
        <w:rPr>
          <w:rFonts w:ascii="Arial" w:hAnsi="Arial" w:cs="Arial"/>
          <w:b/>
          <w:bCs/>
          <w:sz w:val="28"/>
          <w:szCs w:val="28"/>
        </w:rPr>
        <w:t xml:space="preserve">PROJETO </w:t>
      </w:r>
      <w:r w:rsidR="00B546A1" w:rsidRPr="004F7754">
        <w:rPr>
          <w:rFonts w:ascii="Arial" w:hAnsi="Arial" w:cs="Arial"/>
          <w:b/>
          <w:bCs/>
          <w:sz w:val="28"/>
          <w:szCs w:val="28"/>
        </w:rPr>
        <w:t xml:space="preserve">DE LEI Nº           </w:t>
      </w:r>
      <w:proofErr w:type="gramStart"/>
      <w:r w:rsidR="00B546A1" w:rsidRPr="004F7754">
        <w:rPr>
          <w:rFonts w:ascii="Arial" w:hAnsi="Arial" w:cs="Arial"/>
          <w:b/>
          <w:bCs/>
          <w:sz w:val="28"/>
          <w:szCs w:val="28"/>
        </w:rPr>
        <w:t xml:space="preserve">  ,</w:t>
      </w:r>
      <w:proofErr w:type="gramEnd"/>
      <w:r w:rsidR="00B546A1" w:rsidRPr="004F7754">
        <w:rPr>
          <w:rFonts w:ascii="Arial" w:hAnsi="Arial" w:cs="Arial"/>
          <w:b/>
          <w:bCs/>
          <w:sz w:val="28"/>
          <w:szCs w:val="28"/>
        </w:rPr>
        <w:t xml:space="preserve"> DE 2015</w:t>
      </w:r>
    </w:p>
    <w:p w:rsidR="009A4896" w:rsidRPr="004F7754" w:rsidRDefault="009A4896" w:rsidP="009A4896">
      <w:pPr>
        <w:widowControl w:val="0"/>
        <w:autoSpaceDE w:val="0"/>
        <w:autoSpaceDN w:val="0"/>
        <w:adjustRightInd w:val="0"/>
        <w:jc w:val="center"/>
        <w:rPr>
          <w:rFonts w:ascii="Arial" w:hAnsi="Arial" w:cs="Arial"/>
          <w:sz w:val="28"/>
          <w:szCs w:val="28"/>
        </w:rPr>
      </w:pPr>
      <w:r w:rsidRPr="004F7754">
        <w:rPr>
          <w:rFonts w:ascii="Arial" w:hAnsi="Arial" w:cs="Arial"/>
          <w:b/>
          <w:bCs/>
          <w:sz w:val="28"/>
          <w:szCs w:val="28"/>
        </w:rPr>
        <w:t xml:space="preserve">(Do Sr. </w:t>
      </w:r>
      <w:proofErr w:type="spellStart"/>
      <w:r w:rsidR="0052174D" w:rsidRPr="004F7754">
        <w:rPr>
          <w:rFonts w:ascii="Arial" w:hAnsi="Arial" w:cs="Arial"/>
          <w:b/>
          <w:bCs/>
          <w:sz w:val="28"/>
          <w:szCs w:val="28"/>
        </w:rPr>
        <w:t>Indio</w:t>
      </w:r>
      <w:proofErr w:type="spellEnd"/>
      <w:r w:rsidR="0052174D" w:rsidRPr="004F7754">
        <w:rPr>
          <w:rFonts w:ascii="Arial" w:hAnsi="Arial" w:cs="Arial"/>
          <w:b/>
          <w:bCs/>
          <w:sz w:val="28"/>
          <w:szCs w:val="28"/>
        </w:rPr>
        <w:t xml:space="preserve"> da Costa</w:t>
      </w:r>
      <w:r w:rsidRPr="004F7754">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115CBD" w:rsidRPr="00736429" w:rsidRDefault="00736429" w:rsidP="00736429">
      <w:pPr>
        <w:autoSpaceDE w:val="0"/>
        <w:autoSpaceDN w:val="0"/>
        <w:adjustRightInd w:val="0"/>
        <w:spacing w:after="0" w:line="240" w:lineRule="auto"/>
        <w:ind w:left="3969"/>
        <w:jc w:val="both"/>
        <w:rPr>
          <w:rFonts w:ascii="Arial" w:hAnsi="Arial" w:cs="Arial"/>
          <w:sz w:val="24"/>
          <w:szCs w:val="24"/>
          <w:lang w:eastAsia="en-US"/>
        </w:rPr>
      </w:pPr>
      <w:r w:rsidRPr="00736429">
        <w:rPr>
          <w:rFonts w:ascii="Arial" w:eastAsia="Times New Roman" w:hAnsi="Arial" w:cs="Arial"/>
          <w:sz w:val="24"/>
          <w:szCs w:val="24"/>
          <w:lang w:eastAsia="en-US"/>
        </w:rPr>
        <w:t>Prevê a criação de Turmas, Câmaras e Varas</w:t>
      </w:r>
      <w:r>
        <w:rPr>
          <w:rFonts w:ascii="Arial" w:eastAsia="Times New Roman" w:hAnsi="Arial" w:cs="Arial"/>
          <w:sz w:val="24"/>
          <w:szCs w:val="24"/>
          <w:lang w:eastAsia="en-US"/>
        </w:rPr>
        <w:t xml:space="preserve"> </w:t>
      </w:r>
      <w:r w:rsidRPr="00736429">
        <w:rPr>
          <w:rFonts w:ascii="Arial" w:eastAsia="Times New Roman" w:hAnsi="Arial" w:cs="Arial"/>
          <w:sz w:val="24"/>
          <w:szCs w:val="24"/>
          <w:lang w:eastAsia="en-US"/>
        </w:rPr>
        <w:t>Especializadas para o julgamento das ações relativas a atos de improbidade administrativa, no âmbito dos Tribunais Regionais Federais e os Tribunais de Justiça dos Estados e do Distrito Federal e Territórios, e dá outras providências.</w:t>
      </w:r>
    </w:p>
    <w:p w:rsidR="00115CBD"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Pr="008C5151"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736429" w:rsidRDefault="00736429" w:rsidP="00C77947">
      <w:pPr>
        <w:autoSpaceDE w:val="0"/>
        <w:autoSpaceDN w:val="0"/>
        <w:adjustRightInd w:val="0"/>
        <w:spacing w:after="0" w:line="360" w:lineRule="auto"/>
        <w:jc w:val="both"/>
        <w:rPr>
          <w:rFonts w:ascii="Arial" w:eastAsia="Times New Roman" w:hAnsi="Arial" w:cs="Arial"/>
          <w:sz w:val="24"/>
          <w:szCs w:val="24"/>
          <w:lang w:eastAsia="en-US"/>
        </w:rPr>
      </w:pPr>
      <w:r w:rsidRPr="00C77947">
        <w:rPr>
          <w:rFonts w:ascii="Arial" w:eastAsia="Times New Roman" w:hAnsi="Arial" w:cs="Arial"/>
          <w:b/>
          <w:bCs/>
          <w:sz w:val="24"/>
          <w:szCs w:val="24"/>
          <w:lang w:eastAsia="en-US"/>
        </w:rPr>
        <w:t xml:space="preserve">Art. 1º </w:t>
      </w:r>
      <w:r w:rsidRPr="00C77947">
        <w:rPr>
          <w:rFonts w:ascii="Arial" w:eastAsia="Times New Roman" w:hAnsi="Arial" w:cs="Arial"/>
          <w:sz w:val="24"/>
          <w:szCs w:val="24"/>
          <w:lang w:eastAsia="en-US"/>
        </w:rPr>
        <w:t>Esta Lei prevê a criação de Turmas, Câmaras e Varas Especializadas para o</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julgamento das ações relativas a atos de improbidade administrativa, no âmbito dos Tribunais</w:t>
      </w:r>
      <w:r w:rsidR="00C77947" w:rsidRP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Regionais Federais e os Tribunais de Justiça dos Estados e do Distrito Federal e Territórios.</w:t>
      </w:r>
    </w:p>
    <w:p w:rsidR="00C77947" w:rsidRPr="00C77947" w:rsidRDefault="00C77947" w:rsidP="00C77947">
      <w:pPr>
        <w:autoSpaceDE w:val="0"/>
        <w:autoSpaceDN w:val="0"/>
        <w:adjustRightInd w:val="0"/>
        <w:spacing w:after="0" w:line="360" w:lineRule="auto"/>
        <w:jc w:val="both"/>
        <w:rPr>
          <w:rFonts w:ascii="Arial" w:eastAsia="Times New Roman" w:hAnsi="Arial" w:cs="Arial"/>
          <w:sz w:val="24"/>
          <w:szCs w:val="24"/>
          <w:lang w:eastAsia="en-US"/>
        </w:rPr>
      </w:pPr>
    </w:p>
    <w:p w:rsidR="00736429" w:rsidRPr="00C77947" w:rsidRDefault="00736429" w:rsidP="00C77947">
      <w:pPr>
        <w:autoSpaceDE w:val="0"/>
        <w:autoSpaceDN w:val="0"/>
        <w:adjustRightInd w:val="0"/>
        <w:spacing w:after="0" w:line="360" w:lineRule="auto"/>
        <w:jc w:val="both"/>
        <w:rPr>
          <w:rFonts w:ascii="Arial" w:eastAsia="Times New Roman" w:hAnsi="Arial" w:cs="Arial"/>
          <w:sz w:val="24"/>
          <w:szCs w:val="24"/>
          <w:lang w:eastAsia="en-US"/>
        </w:rPr>
      </w:pPr>
      <w:r w:rsidRPr="00C77947">
        <w:rPr>
          <w:rFonts w:ascii="Arial" w:eastAsia="Times New Roman" w:hAnsi="Arial" w:cs="Arial"/>
          <w:b/>
          <w:bCs/>
          <w:sz w:val="24"/>
          <w:szCs w:val="24"/>
          <w:lang w:eastAsia="en-US"/>
        </w:rPr>
        <w:t xml:space="preserve">Art. 2º </w:t>
      </w:r>
      <w:r w:rsidRPr="00C77947">
        <w:rPr>
          <w:rFonts w:ascii="Arial" w:eastAsia="Times New Roman" w:hAnsi="Arial" w:cs="Arial"/>
          <w:sz w:val="24"/>
          <w:szCs w:val="24"/>
          <w:lang w:eastAsia="en-US"/>
        </w:rPr>
        <w:t>Os Tribunais Regionais Federais e os Tribunais de Justiça dos Estados e do Distrito</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Federal e Territórios criarão, em sua estrutura, no prazo de 180 (cento e oitenta) dias, Turmas ou</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Câmaras Especializadas, bem como transformarão uma ou mais Varas localizadas nas respectivas</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capitais em Varas Especializadas para o julgamento das ações previstas na Lei nº 8.429, de 2 de</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junho de 1992, e na Lei nº 12.846, de 1º de agosto de 2013.</w:t>
      </w:r>
    </w:p>
    <w:p w:rsidR="00C77947" w:rsidRDefault="00C77947" w:rsidP="00C77947">
      <w:pPr>
        <w:autoSpaceDE w:val="0"/>
        <w:autoSpaceDN w:val="0"/>
        <w:adjustRightInd w:val="0"/>
        <w:spacing w:after="0" w:line="360" w:lineRule="auto"/>
        <w:jc w:val="both"/>
        <w:rPr>
          <w:rFonts w:ascii="Arial" w:eastAsia="Times New Roman" w:hAnsi="Arial" w:cs="Arial"/>
          <w:b/>
          <w:bCs/>
          <w:sz w:val="24"/>
          <w:szCs w:val="24"/>
          <w:lang w:eastAsia="en-US"/>
        </w:rPr>
      </w:pPr>
    </w:p>
    <w:p w:rsidR="00736429" w:rsidRDefault="00736429" w:rsidP="00C77947">
      <w:pPr>
        <w:autoSpaceDE w:val="0"/>
        <w:autoSpaceDN w:val="0"/>
        <w:adjustRightInd w:val="0"/>
        <w:spacing w:after="0" w:line="360" w:lineRule="auto"/>
        <w:jc w:val="both"/>
        <w:rPr>
          <w:rFonts w:ascii="Arial" w:eastAsia="Times New Roman" w:hAnsi="Arial" w:cs="Arial"/>
          <w:sz w:val="24"/>
          <w:szCs w:val="24"/>
          <w:lang w:eastAsia="en-US"/>
        </w:rPr>
      </w:pPr>
      <w:r w:rsidRPr="00C77947">
        <w:rPr>
          <w:rFonts w:ascii="Arial" w:eastAsia="Times New Roman" w:hAnsi="Arial" w:cs="Arial"/>
          <w:b/>
          <w:bCs/>
          <w:sz w:val="24"/>
          <w:szCs w:val="24"/>
          <w:lang w:eastAsia="en-US"/>
        </w:rPr>
        <w:t xml:space="preserve">Art. 3º </w:t>
      </w:r>
      <w:r w:rsidRPr="00C77947">
        <w:rPr>
          <w:rFonts w:ascii="Arial" w:eastAsia="Times New Roman" w:hAnsi="Arial" w:cs="Arial"/>
          <w:sz w:val="24"/>
          <w:szCs w:val="24"/>
          <w:lang w:eastAsia="en-US"/>
        </w:rPr>
        <w:t>As Varas Especializadas de que trata este artigo poderão acumular a competência</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para o julgamento das ações criminais correlatas aos atos de improbidade administrativa elencados</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na ação cível.</w:t>
      </w:r>
    </w:p>
    <w:p w:rsidR="00C77947" w:rsidRPr="00C77947" w:rsidRDefault="00C77947" w:rsidP="00C77947">
      <w:pPr>
        <w:autoSpaceDE w:val="0"/>
        <w:autoSpaceDN w:val="0"/>
        <w:adjustRightInd w:val="0"/>
        <w:spacing w:after="0" w:line="360" w:lineRule="auto"/>
        <w:jc w:val="both"/>
        <w:rPr>
          <w:rFonts w:ascii="Arial" w:eastAsia="Times New Roman" w:hAnsi="Arial" w:cs="Arial"/>
          <w:sz w:val="24"/>
          <w:szCs w:val="24"/>
          <w:lang w:eastAsia="en-US"/>
        </w:rPr>
      </w:pPr>
    </w:p>
    <w:p w:rsidR="00736429" w:rsidRDefault="00736429" w:rsidP="00C77947">
      <w:pPr>
        <w:autoSpaceDE w:val="0"/>
        <w:autoSpaceDN w:val="0"/>
        <w:adjustRightInd w:val="0"/>
        <w:spacing w:after="0" w:line="360" w:lineRule="auto"/>
        <w:jc w:val="both"/>
        <w:rPr>
          <w:rFonts w:ascii="Arial" w:eastAsia="Times New Roman" w:hAnsi="Arial" w:cs="Arial"/>
          <w:sz w:val="24"/>
          <w:szCs w:val="24"/>
          <w:lang w:eastAsia="en-US"/>
        </w:rPr>
      </w:pPr>
      <w:r w:rsidRPr="00C77947">
        <w:rPr>
          <w:rFonts w:ascii="Arial" w:eastAsia="Times New Roman" w:hAnsi="Arial" w:cs="Arial"/>
          <w:b/>
          <w:bCs/>
          <w:sz w:val="24"/>
          <w:szCs w:val="24"/>
          <w:lang w:eastAsia="en-US"/>
        </w:rPr>
        <w:t xml:space="preserve">Art. 4º </w:t>
      </w:r>
      <w:r w:rsidRPr="00C77947">
        <w:rPr>
          <w:rFonts w:ascii="Arial" w:eastAsia="Times New Roman" w:hAnsi="Arial" w:cs="Arial"/>
          <w:sz w:val="24"/>
          <w:szCs w:val="24"/>
          <w:lang w:eastAsia="en-US"/>
        </w:rPr>
        <w:t>Terão prioridade de tramitação, em qualquer instância, os processos de que trata</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esta Lei, inclusive por ocasião da execução de atos e diligências e do cumprimento de mandados</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judiciais.</w:t>
      </w:r>
    </w:p>
    <w:p w:rsidR="00C77947" w:rsidRPr="00C77947" w:rsidRDefault="00C77947" w:rsidP="00C77947">
      <w:pPr>
        <w:autoSpaceDE w:val="0"/>
        <w:autoSpaceDN w:val="0"/>
        <w:adjustRightInd w:val="0"/>
        <w:spacing w:after="0" w:line="360" w:lineRule="auto"/>
        <w:jc w:val="both"/>
        <w:rPr>
          <w:rFonts w:ascii="Arial" w:eastAsia="Times New Roman" w:hAnsi="Arial" w:cs="Arial"/>
          <w:sz w:val="24"/>
          <w:szCs w:val="24"/>
          <w:lang w:eastAsia="en-US"/>
        </w:rPr>
      </w:pPr>
    </w:p>
    <w:p w:rsidR="00736429" w:rsidRDefault="00736429" w:rsidP="00C77947">
      <w:pPr>
        <w:autoSpaceDE w:val="0"/>
        <w:autoSpaceDN w:val="0"/>
        <w:adjustRightInd w:val="0"/>
        <w:spacing w:after="0" w:line="360" w:lineRule="auto"/>
        <w:jc w:val="both"/>
        <w:rPr>
          <w:rFonts w:ascii="Arial" w:eastAsia="Times New Roman" w:hAnsi="Arial" w:cs="Arial"/>
          <w:sz w:val="24"/>
          <w:szCs w:val="24"/>
          <w:lang w:eastAsia="en-US"/>
        </w:rPr>
      </w:pPr>
      <w:r w:rsidRPr="00C77947">
        <w:rPr>
          <w:rFonts w:ascii="Arial" w:eastAsia="Times New Roman" w:hAnsi="Arial" w:cs="Arial"/>
          <w:b/>
          <w:bCs/>
          <w:sz w:val="24"/>
          <w:szCs w:val="24"/>
          <w:lang w:eastAsia="en-US"/>
        </w:rPr>
        <w:lastRenderedPageBreak/>
        <w:t xml:space="preserve">Art. 5º </w:t>
      </w:r>
      <w:r w:rsidRPr="00C77947">
        <w:rPr>
          <w:rFonts w:ascii="Arial" w:eastAsia="Times New Roman" w:hAnsi="Arial" w:cs="Arial"/>
          <w:sz w:val="24"/>
          <w:szCs w:val="24"/>
          <w:lang w:eastAsia="en-US"/>
        </w:rPr>
        <w:t>O Superior Tribunal de Justiça poderá editar ato normativo para disciplinar a</w:t>
      </w:r>
      <w:r w:rsidR="00C77947">
        <w:rPr>
          <w:rFonts w:ascii="Arial" w:eastAsia="Times New Roman" w:hAnsi="Arial" w:cs="Arial"/>
          <w:sz w:val="24"/>
          <w:szCs w:val="24"/>
          <w:lang w:eastAsia="en-US"/>
        </w:rPr>
        <w:t xml:space="preserve"> </w:t>
      </w:r>
      <w:r w:rsidRPr="00C77947">
        <w:rPr>
          <w:rFonts w:ascii="Arial" w:eastAsia="Times New Roman" w:hAnsi="Arial" w:cs="Arial"/>
          <w:sz w:val="24"/>
          <w:szCs w:val="24"/>
          <w:lang w:eastAsia="en-US"/>
        </w:rPr>
        <w:t>criação de Turma específica para os fins desta Lei.</w:t>
      </w:r>
    </w:p>
    <w:p w:rsidR="00C77947" w:rsidRPr="00C77947" w:rsidRDefault="00C77947" w:rsidP="00C77947">
      <w:pPr>
        <w:autoSpaceDE w:val="0"/>
        <w:autoSpaceDN w:val="0"/>
        <w:adjustRightInd w:val="0"/>
        <w:spacing w:after="0" w:line="360" w:lineRule="auto"/>
        <w:jc w:val="both"/>
        <w:rPr>
          <w:rFonts w:ascii="Arial" w:eastAsia="Times New Roman" w:hAnsi="Arial" w:cs="Arial"/>
          <w:sz w:val="24"/>
          <w:szCs w:val="24"/>
          <w:lang w:eastAsia="en-US"/>
        </w:rPr>
      </w:pPr>
    </w:p>
    <w:p w:rsidR="004F7754" w:rsidRPr="00C77947" w:rsidRDefault="00736429" w:rsidP="00C77947">
      <w:pPr>
        <w:autoSpaceDE w:val="0"/>
        <w:autoSpaceDN w:val="0"/>
        <w:adjustRightInd w:val="0"/>
        <w:spacing w:after="0" w:line="360" w:lineRule="auto"/>
        <w:jc w:val="both"/>
        <w:rPr>
          <w:rFonts w:ascii="Arial" w:hAnsi="Arial" w:cs="Arial"/>
          <w:b/>
          <w:bCs/>
          <w:sz w:val="32"/>
          <w:szCs w:val="32"/>
          <w:u w:val="single"/>
          <w:lang w:eastAsia="en-US"/>
        </w:rPr>
      </w:pPr>
      <w:r w:rsidRPr="00C77947">
        <w:rPr>
          <w:rFonts w:ascii="Arial" w:eastAsia="Times New Roman" w:hAnsi="Arial" w:cs="Arial"/>
          <w:b/>
          <w:bCs/>
          <w:sz w:val="24"/>
          <w:szCs w:val="24"/>
          <w:lang w:eastAsia="en-US"/>
        </w:rPr>
        <w:t xml:space="preserve">Art. 6º </w:t>
      </w:r>
      <w:r w:rsidRPr="00C77947">
        <w:rPr>
          <w:rFonts w:ascii="Arial" w:eastAsia="Times New Roman" w:hAnsi="Arial" w:cs="Arial"/>
          <w:sz w:val="24"/>
          <w:szCs w:val="24"/>
          <w:lang w:eastAsia="en-US"/>
        </w:rPr>
        <w:t>Esta Lei entra em vigor na data de sua publicação.</w:t>
      </w:r>
    </w:p>
    <w:p w:rsidR="00C77947" w:rsidRDefault="00C77947"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DE2BB1">
        <w:rPr>
          <w:rFonts w:ascii="Arial" w:hAnsi="Arial" w:cs="Arial"/>
          <w:sz w:val="24"/>
          <w:szCs w:val="24"/>
        </w:rPr>
        <w:t>Deltan</w:t>
      </w:r>
      <w:proofErr w:type="spellEnd"/>
      <w:r w:rsidR="00DE2BB1">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B2007B" w:rsidRDefault="00B2007B" w:rsidP="00B2007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B2007B" w:rsidRDefault="00B2007B" w:rsidP="00C77947">
      <w:pPr>
        <w:autoSpaceDE w:val="0"/>
        <w:autoSpaceDN w:val="0"/>
        <w:adjustRightInd w:val="0"/>
        <w:spacing w:after="0" w:line="240" w:lineRule="auto"/>
        <w:ind w:firstLine="709"/>
        <w:jc w:val="both"/>
        <w:rPr>
          <w:rFonts w:ascii="Arial" w:eastAsia="Times New Roman" w:hAnsi="Arial" w:cs="Arial"/>
          <w:sz w:val="24"/>
          <w:szCs w:val="24"/>
          <w:lang w:eastAsia="en-US"/>
        </w:rPr>
      </w:pP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lastRenderedPageBreak/>
        <w:t>A presente iniciativa legislativa possui a finalidade primordial de agilizar a tramitação das ações de improbidade administrativa com a criação de Turmas, Câmaras e Varas Especializadas em seu julgamento.</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Assim ocorre em razão da experiência exitosa, no Direito Brasileiro, das Varas Criminais Especializadas para o julgamento de crimes de lavagem de dinheiro e contra o sistema financeiro nacional.</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Em uma vara com atribuição cível universal, o julgador tem, em seu acervo, milhares de ações com os mais variados temas e ritos. A título ilustrativo, consoante estatísticas publicadas pelo Conselho da Justiça Federal, em 2013, havia um estoque médio de 8.757 processos aguardando julgamento por Vara Federal no Distrito Federal.</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A sistemática atual de distribuição de ações judiciais não contempla qualquer diferenciação entre uma ação de improbidade administrativa e algum outro processo repetitivo, a exemplo de mandados de segurança que envolvem questões tributárias. Assim, para fins estatísticos, não há diferenciação entre proferir uma sentença em um processo comum, em um mandado de segurança ou em uma ação de improbidade administrativa.</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Ocorre que, ordinariamente, o julgamento de uma ação de improbidade administrativa demanda da autoridade julgadora mais tempo e maior esforço intelectivo do que o julgamento de outros processos mais simples ou de matéria repetitiva.</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De fato, considerando-se a necessidade de revirar extensa matéria de fato e de direito e a responsabilidade de proferir julgamento sobre direitos fundamentais dos acusados, cada ação de improbidade administrativa demanda muito mais do julgador do que outros processos com matérias mais corriqueiras e de natureza exclusivamente patrimonial.</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Diante disso, natural que o julgador, premido pela necessidade de diminuir o gigantesco estoque de procedimentos à espera de julgamento, dê preferência aos processos simples e corriqueiros, deixando de lado a tramitação de processos mais complexos, como as ações de improbidade administrativa.</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 xml:space="preserve">A morosidade na tramitação das ações de improbidade administrativa é nefasta a ponto de o Conselho Nacional de Justiça (CNJ), órgão de controle externo do Poder Judiciário, estabelecer a meta das Justiças Estadual, Federal e Militar, além do Superior Tribunal de Justiça, para “identificar e julgar, até </w:t>
      </w:r>
      <w:r w:rsidRPr="00B2007B">
        <w:rPr>
          <w:rFonts w:ascii="Arial" w:hAnsi="Arial" w:cs="Arial"/>
          <w:sz w:val="24"/>
          <w:szCs w:val="24"/>
        </w:rPr>
        <w:lastRenderedPageBreak/>
        <w:t>31/12/2013, as ações de improbidade administrativa e ações penais relacionadas a crimes contra a administração pública distribuídas até 31/12/2011” (Meta 18, de 2013).</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No entanto, as metas estabelecidas pelo CNJ ficaram longe de alcançar o efeito desejado. Mesmo com os esforços concentrados realizados por juízes, pelo país afora, o Relatório de Metas Nacionais do Poder Judiciário 2009-2013 revelou que nenhum Tribunal do país logrou alcançar a meta. Segundo as informações prestadas pelos Tribunais, até 31 de dezembro de 2011, havia, no Poder Judiciário, um estoque de 43.773 ações de improbidade distribuídas e não julgadas. Mesmo com os esforços impostos pela Meta 18, de tais ações somente 10.643 foram julgadas no ano de 2012, e apenas outras 9.864 no ano de 2013.</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Vê-se, portanto, que o problema da morosidade na tramitação dessas ações não será resolvido apenas com esforços concentrados e priorização de julgamentos. Para tanto, é necessário identificar os fatores que realmente influenciam na dificuldade de tramitação desses processos, bem como criar meios para destravá-los.</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Nesse sentido, uma das possíveis soluções reside na criação de Turmas, Câmaras e Varas Especializadas para o julgamento de ações de improbidade administrativa.</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O que se pretende, portanto, é o estabelecimento de uma opção legislativa para priorizar as ações de improbidade administrativa, ao invés de deixar a cargo de cada julgador a difícil escolha entre sentenciar uma ação complexa ou dezenas de ações simples e repetitivas.</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Esse foi o modelo implantado nas já mencionadas Varas Criminais Especializadas para julgar crimes de lavagem de dinheiro e contra o sistema financeiro nacional, o qual vem se mostrando exitoso e de acordo com o princípio constitucional da razoável duração do processo, e também por isso foi elencado dispositivo no sentido de autorizar que ditas Varas Especializadas julguem os crimes decorrentes da menção aos atos ímprobos descritos, por meio da ação penal respectiva.</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 xml:space="preserve">Aproveitou-se a oportunidade para incluir, no âmbito da especialização, as ações judiciais cíveis decorrentes da Lei Anticorrupção (Lei nº 12.846, de 1º/8/2013), em decorrência da similitude quanto ao seu objeto e finalidade, bem </w:t>
      </w:r>
      <w:r w:rsidRPr="00B2007B">
        <w:rPr>
          <w:rFonts w:ascii="Arial" w:hAnsi="Arial" w:cs="Arial"/>
          <w:sz w:val="24"/>
          <w:szCs w:val="24"/>
        </w:rPr>
        <w:lastRenderedPageBreak/>
        <w:t>como se autorizou ao Superior Tribunal de Justiça que crie Turma específica voltada ao julgamento desse tipo de ação.</w:t>
      </w:r>
    </w:p>
    <w:p w:rsidR="00C77947" w:rsidRPr="00B2007B"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É certo que as causas da morosidade na tramitação das ações de improbidade administrativa seguramente não se resumem a esse aspecto procedimental. Não se ignora que uma série de fatores políticos e sociológicos também possui relevante papel na lentidão dessas ações, uma vez que não raramente essas causas interferem em poderosos interesses econômicos e políticos e dizem respeito a réus que detêm influência social e meios financeiros para dificultar o andamento do processo judicial.</w:t>
      </w:r>
    </w:p>
    <w:p w:rsidR="00C77947" w:rsidRDefault="00C77947" w:rsidP="00B2007B">
      <w:pPr>
        <w:autoSpaceDE w:val="0"/>
        <w:autoSpaceDN w:val="0"/>
        <w:adjustRightInd w:val="0"/>
        <w:spacing w:after="0" w:line="360" w:lineRule="auto"/>
        <w:ind w:firstLine="720"/>
        <w:jc w:val="both"/>
        <w:rPr>
          <w:rFonts w:ascii="Arial" w:hAnsi="Arial" w:cs="Arial"/>
          <w:sz w:val="24"/>
          <w:szCs w:val="24"/>
        </w:rPr>
      </w:pPr>
      <w:r w:rsidRPr="00B2007B">
        <w:rPr>
          <w:rFonts w:ascii="Arial" w:hAnsi="Arial" w:cs="Arial"/>
          <w:sz w:val="24"/>
          <w:szCs w:val="24"/>
        </w:rPr>
        <w:t>No entanto, a existência de outros fatores não justifica que não se resolvam os problemas decorrentes de incongruências procedimentais e estruturais; pelo contrário, deve-se ao máximo implementar os meios necessários para que o processo sirva para assegurar a viabilização do interesse social na responsabilização dos autores de atos ímprobos e o direito constitucional da sociedade de se valer de procedimento judicial célere para tanto.</w:t>
      </w:r>
      <w:r w:rsidRPr="00D0235D">
        <w:rPr>
          <w:rFonts w:ascii="Arial" w:hAnsi="Arial" w:cs="Arial"/>
          <w:sz w:val="24"/>
          <w:szCs w:val="24"/>
        </w:rPr>
        <w:t xml:space="preserve"> </w:t>
      </w:r>
    </w:p>
    <w:p w:rsidR="000571B4" w:rsidRPr="00D0235D" w:rsidRDefault="000571B4" w:rsidP="00B2007B">
      <w:pPr>
        <w:autoSpaceDE w:val="0"/>
        <w:autoSpaceDN w:val="0"/>
        <w:adjustRightInd w:val="0"/>
        <w:spacing w:after="0" w:line="360" w:lineRule="auto"/>
        <w:ind w:firstLine="720"/>
        <w:jc w:val="both"/>
        <w:rPr>
          <w:rFonts w:ascii="Arial" w:hAnsi="Arial" w:cs="Arial"/>
          <w:sz w:val="24"/>
          <w:szCs w:val="24"/>
        </w:rPr>
      </w:pPr>
      <w:r w:rsidRPr="00D0235D">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B2007B">
      <w:pPr>
        <w:autoSpaceDE w:val="0"/>
        <w:autoSpaceDN w:val="0"/>
        <w:adjustRightInd w:val="0"/>
        <w:spacing w:after="0" w:line="360" w:lineRule="auto"/>
        <w:ind w:firstLine="720"/>
        <w:jc w:val="both"/>
        <w:rPr>
          <w:rFonts w:ascii="Arial" w:hAnsi="Arial" w:cs="Arial"/>
          <w:sz w:val="24"/>
          <w:szCs w:val="24"/>
        </w:rPr>
      </w:pPr>
    </w:p>
    <w:p w:rsidR="000571B4" w:rsidRPr="00D67EB1" w:rsidRDefault="000571B4" w:rsidP="00B2007B">
      <w:pPr>
        <w:autoSpaceDE w:val="0"/>
        <w:autoSpaceDN w:val="0"/>
        <w:adjustRightInd w:val="0"/>
        <w:spacing w:after="0" w:line="360" w:lineRule="auto"/>
        <w:ind w:firstLine="720"/>
        <w:jc w:val="center"/>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B2007B">
      <w:pPr>
        <w:autoSpaceDE w:val="0"/>
        <w:autoSpaceDN w:val="0"/>
        <w:adjustRightInd w:val="0"/>
        <w:spacing w:after="0" w:line="360" w:lineRule="auto"/>
        <w:ind w:firstLine="720"/>
        <w:jc w:val="center"/>
        <w:rPr>
          <w:rFonts w:ascii="Arial" w:hAnsi="Arial" w:cs="Arial"/>
          <w:sz w:val="24"/>
          <w:szCs w:val="24"/>
        </w:rPr>
      </w:pPr>
    </w:p>
    <w:p w:rsidR="000571B4" w:rsidRPr="00B2007B" w:rsidRDefault="000571B4" w:rsidP="00B2007B">
      <w:pPr>
        <w:autoSpaceDE w:val="0"/>
        <w:autoSpaceDN w:val="0"/>
        <w:adjustRightInd w:val="0"/>
        <w:spacing w:after="0" w:line="360" w:lineRule="auto"/>
        <w:ind w:firstLine="720"/>
        <w:jc w:val="center"/>
        <w:rPr>
          <w:rFonts w:ascii="Arial" w:hAnsi="Arial" w:cs="Arial"/>
          <w:b/>
          <w:sz w:val="24"/>
          <w:szCs w:val="24"/>
        </w:rPr>
      </w:pPr>
      <w:r w:rsidRPr="00B2007B">
        <w:rPr>
          <w:rFonts w:ascii="Arial" w:hAnsi="Arial" w:cs="Arial"/>
          <w:b/>
          <w:sz w:val="24"/>
          <w:szCs w:val="24"/>
        </w:rPr>
        <w:t xml:space="preserve">Dep. </w:t>
      </w:r>
      <w:proofErr w:type="spellStart"/>
      <w:r w:rsidRPr="00B2007B">
        <w:rPr>
          <w:rFonts w:ascii="Arial" w:hAnsi="Arial" w:cs="Arial"/>
          <w:b/>
          <w:sz w:val="24"/>
          <w:szCs w:val="24"/>
        </w:rPr>
        <w:t>Indio</w:t>
      </w:r>
      <w:proofErr w:type="spellEnd"/>
      <w:r w:rsidRPr="00B2007B">
        <w:rPr>
          <w:rFonts w:ascii="Arial" w:hAnsi="Arial" w:cs="Arial"/>
          <w:b/>
          <w:sz w:val="24"/>
          <w:szCs w:val="24"/>
        </w:rPr>
        <w:t xml:space="preserve"> da Costa</w:t>
      </w:r>
    </w:p>
    <w:p w:rsidR="000571B4" w:rsidRPr="00B2007B" w:rsidRDefault="000571B4" w:rsidP="00B2007B">
      <w:pPr>
        <w:autoSpaceDE w:val="0"/>
        <w:autoSpaceDN w:val="0"/>
        <w:adjustRightInd w:val="0"/>
        <w:spacing w:after="0" w:line="360" w:lineRule="auto"/>
        <w:ind w:firstLine="720"/>
        <w:jc w:val="center"/>
        <w:rPr>
          <w:rFonts w:ascii="Arial" w:hAnsi="Arial" w:cs="Arial"/>
          <w:b/>
          <w:sz w:val="24"/>
          <w:szCs w:val="24"/>
        </w:rPr>
      </w:pPr>
      <w:r w:rsidRPr="00B2007B">
        <w:rPr>
          <w:rFonts w:ascii="Arial" w:hAnsi="Arial" w:cs="Arial"/>
          <w:b/>
          <w:sz w:val="24"/>
          <w:szCs w:val="24"/>
        </w:rPr>
        <w:t>PSD/RJ</w:t>
      </w:r>
    </w:p>
    <w:p w:rsidR="00403113" w:rsidRPr="00B2007B" w:rsidRDefault="00403113" w:rsidP="00D67EB1">
      <w:pPr>
        <w:widowControl w:val="0"/>
        <w:autoSpaceDE w:val="0"/>
        <w:autoSpaceDN w:val="0"/>
        <w:adjustRightInd w:val="0"/>
        <w:spacing w:after="0" w:line="360" w:lineRule="auto"/>
        <w:ind w:firstLine="709"/>
        <w:jc w:val="both"/>
        <w:rPr>
          <w:rFonts w:ascii="Arial" w:hAnsi="Arial" w:cs="Arial"/>
          <w:b/>
          <w:sz w:val="24"/>
          <w:szCs w:val="24"/>
        </w:rPr>
      </w:pPr>
    </w:p>
    <w:sectPr w:rsidR="00403113" w:rsidRPr="00B2007B" w:rsidSect="00CC3F81">
      <w:headerReference w:type="default" r:id="rId7"/>
      <w:pgSz w:w="11906" w:h="16838"/>
      <w:pgMar w:top="1389"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9C1" w:rsidRDefault="00DA29C1" w:rsidP="009A4896">
      <w:pPr>
        <w:spacing w:after="0" w:line="240" w:lineRule="auto"/>
      </w:pPr>
      <w:r>
        <w:separator/>
      </w:r>
    </w:p>
  </w:endnote>
  <w:endnote w:type="continuationSeparator" w:id="0">
    <w:p w:rsidR="00DA29C1" w:rsidRDefault="00DA29C1"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9C1" w:rsidRDefault="00DA29C1" w:rsidP="009A4896">
      <w:pPr>
        <w:spacing w:after="0" w:line="240" w:lineRule="auto"/>
      </w:pPr>
      <w:r>
        <w:separator/>
      </w:r>
    </w:p>
  </w:footnote>
  <w:footnote w:type="continuationSeparator" w:id="0">
    <w:p w:rsidR="00DA29C1" w:rsidRDefault="00DA29C1"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DA29C1">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6.2pt;margin-top:16.5pt;width:50.4pt;height:50.4pt;z-index:251658240;visibility:visible;mso-wrap-edited:f;mso-position-vertical-relative:page" o:allowincell="f">
          <v:imagedata r:id="rId1" o:title=""/>
          <w10:wrap anchory="page"/>
        </v:shape>
        <o:OLEObject Type="Embed" ProgID="Word.Picture.8" ShapeID="_x0000_s2049" DrawAspect="Content" ObjectID="_1511796300"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E788C"/>
    <w:rsid w:val="000F433C"/>
    <w:rsid w:val="00114F09"/>
    <w:rsid w:val="00115CBD"/>
    <w:rsid w:val="0011736F"/>
    <w:rsid w:val="00143C31"/>
    <w:rsid w:val="00143F09"/>
    <w:rsid w:val="001956AA"/>
    <w:rsid w:val="00202632"/>
    <w:rsid w:val="002516FC"/>
    <w:rsid w:val="00253164"/>
    <w:rsid w:val="00267E3E"/>
    <w:rsid w:val="00281EFD"/>
    <w:rsid w:val="0029143A"/>
    <w:rsid w:val="002A4DDB"/>
    <w:rsid w:val="002B7BB3"/>
    <w:rsid w:val="00301DEE"/>
    <w:rsid w:val="003316D0"/>
    <w:rsid w:val="00351D86"/>
    <w:rsid w:val="00361C8F"/>
    <w:rsid w:val="003C3E8E"/>
    <w:rsid w:val="003E0F92"/>
    <w:rsid w:val="00403113"/>
    <w:rsid w:val="00416D3A"/>
    <w:rsid w:val="00461094"/>
    <w:rsid w:val="00483A9D"/>
    <w:rsid w:val="004A3DDE"/>
    <w:rsid w:val="004E553B"/>
    <w:rsid w:val="004F0AB8"/>
    <w:rsid w:val="004F694B"/>
    <w:rsid w:val="004F7754"/>
    <w:rsid w:val="00515AA9"/>
    <w:rsid w:val="0052174D"/>
    <w:rsid w:val="00540F87"/>
    <w:rsid w:val="00575ABA"/>
    <w:rsid w:val="006250B9"/>
    <w:rsid w:val="0062545A"/>
    <w:rsid w:val="00661915"/>
    <w:rsid w:val="00661DE2"/>
    <w:rsid w:val="006813E7"/>
    <w:rsid w:val="00687650"/>
    <w:rsid w:val="00693941"/>
    <w:rsid w:val="006B30DA"/>
    <w:rsid w:val="006B343E"/>
    <w:rsid w:val="006B3672"/>
    <w:rsid w:val="006B3CC0"/>
    <w:rsid w:val="006E2600"/>
    <w:rsid w:val="00703E30"/>
    <w:rsid w:val="00736429"/>
    <w:rsid w:val="007A3EEF"/>
    <w:rsid w:val="007D652D"/>
    <w:rsid w:val="008263C7"/>
    <w:rsid w:val="00845B78"/>
    <w:rsid w:val="008607E7"/>
    <w:rsid w:val="00861F5A"/>
    <w:rsid w:val="0088036D"/>
    <w:rsid w:val="00890601"/>
    <w:rsid w:val="008A04F3"/>
    <w:rsid w:val="008A55DD"/>
    <w:rsid w:val="008C5151"/>
    <w:rsid w:val="008C6A35"/>
    <w:rsid w:val="008D605F"/>
    <w:rsid w:val="00900DA7"/>
    <w:rsid w:val="00904F37"/>
    <w:rsid w:val="00907929"/>
    <w:rsid w:val="0091526B"/>
    <w:rsid w:val="00935317"/>
    <w:rsid w:val="00966641"/>
    <w:rsid w:val="00982FE8"/>
    <w:rsid w:val="009A4896"/>
    <w:rsid w:val="009B75EA"/>
    <w:rsid w:val="00A00107"/>
    <w:rsid w:val="00A05A8E"/>
    <w:rsid w:val="00A1289C"/>
    <w:rsid w:val="00A20C24"/>
    <w:rsid w:val="00A428C8"/>
    <w:rsid w:val="00A76818"/>
    <w:rsid w:val="00A80249"/>
    <w:rsid w:val="00A81B02"/>
    <w:rsid w:val="00A85EBC"/>
    <w:rsid w:val="00AA4A28"/>
    <w:rsid w:val="00AE36F2"/>
    <w:rsid w:val="00AF59FD"/>
    <w:rsid w:val="00B02B8F"/>
    <w:rsid w:val="00B11D18"/>
    <w:rsid w:val="00B2007B"/>
    <w:rsid w:val="00B205A8"/>
    <w:rsid w:val="00B546A1"/>
    <w:rsid w:val="00B65334"/>
    <w:rsid w:val="00B67E63"/>
    <w:rsid w:val="00B9056A"/>
    <w:rsid w:val="00BD2C24"/>
    <w:rsid w:val="00BE57DF"/>
    <w:rsid w:val="00BF5981"/>
    <w:rsid w:val="00C22DEA"/>
    <w:rsid w:val="00C668E4"/>
    <w:rsid w:val="00C77947"/>
    <w:rsid w:val="00C9504D"/>
    <w:rsid w:val="00CC20BA"/>
    <w:rsid w:val="00CC3F81"/>
    <w:rsid w:val="00CC6097"/>
    <w:rsid w:val="00CD4319"/>
    <w:rsid w:val="00CD77C8"/>
    <w:rsid w:val="00CE7EE5"/>
    <w:rsid w:val="00D02154"/>
    <w:rsid w:val="00D0235D"/>
    <w:rsid w:val="00D250C4"/>
    <w:rsid w:val="00D264C4"/>
    <w:rsid w:val="00D43257"/>
    <w:rsid w:val="00D67EB1"/>
    <w:rsid w:val="00DA29C1"/>
    <w:rsid w:val="00DE2BB1"/>
    <w:rsid w:val="00DE5705"/>
    <w:rsid w:val="00E2061A"/>
    <w:rsid w:val="00E37520"/>
    <w:rsid w:val="00E56C73"/>
    <w:rsid w:val="00E77150"/>
    <w:rsid w:val="00E813D9"/>
    <w:rsid w:val="00EA29DF"/>
    <w:rsid w:val="00EC6A9B"/>
    <w:rsid w:val="00EC7137"/>
    <w:rsid w:val="00EE20E7"/>
    <w:rsid w:val="00F236B0"/>
    <w:rsid w:val="00F2739F"/>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66EEE870-2250-435C-B884-43388A99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68583">
      <w:bodyDiv w:val="1"/>
      <w:marLeft w:val="0"/>
      <w:marRight w:val="0"/>
      <w:marTop w:val="0"/>
      <w:marBottom w:val="0"/>
      <w:divBdr>
        <w:top w:val="none" w:sz="0" w:space="0" w:color="auto"/>
        <w:left w:val="none" w:sz="0" w:space="0" w:color="auto"/>
        <w:bottom w:val="none" w:sz="0" w:space="0" w:color="auto"/>
        <w:right w:val="none" w:sz="0" w:space="0" w:color="auto"/>
      </w:divBdr>
    </w:div>
    <w:div w:id="1958756553">
      <w:marLeft w:val="0"/>
      <w:marRight w:val="0"/>
      <w:marTop w:val="0"/>
      <w:marBottom w:val="0"/>
      <w:divBdr>
        <w:top w:val="none" w:sz="0" w:space="0" w:color="auto"/>
        <w:left w:val="none" w:sz="0" w:space="0" w:color="auto"/>
        <w:bottom w:val="none" w:sz="0" w:space="0" w:color="auto"/>
        <w:right w:val="none" w:sz="0" w:space="0" w:color="auto"/>
      </w:divBdr>
    </w:div>
    <w:div w:id="1958756554">
      <w:marLeft w:val="0"/>
      <w:marRight w:val="0"/>
      <w:marTop w:val="0"/>
      <w:marBottom w:val="0"/>
      <w:divBdr>
        <w:top w:val="none" w:sz="0" w:space="0" w:color="auto"/>
        <w:left w:val="none" w:sz="0" w:space="0" w:color="auto"/>
        <w:bottom w:val="none" w:sz="0" w:space="0" w:color="auto"/>
        <w:right w:val="none" w:sz="0" w:space="0" w:color="auto"/>
      </w:divBdr>
    </w:div>
    <w:div w:id="19587565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34274-CA10-49EF-96F1-A18CD603E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1441</Words>
  <Characters>7784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5</cp:revision>
  <cp:lastPrinted>2015-03-12T13:04:00Z</cp:lastPrinted>
  <dcterms:created xsi:type="dcterms:W3CDTF">2015-12-02T13:29:00Z</dcterms:created>
  <dcterms:modified xsi:type="dcterms:W3CDTF">2015-12-16T20:39:00Z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329902</vt:i4>
  </property>
</Properties>
</file>