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Pr="006F3E1B" w:rsidRDefault="009A4896" w:rsidP="009A4896">
      <w:pPr>
        <w:widowControl w:val="0"/>
        <w:autoSpaceDE w:val="0"/>
        <w:autoSpaceDN w:val="0"/>
        <w:adjustRightInd w:val="0"/>
        <w:spacing w:after="0" w:line="240" w:lineRule="auto"/>
        <w:jc w:val="center"/>
        <w:rPr>
          <w:rFonts w:ascii="Arial" w:hAnsi="Arial" w:cs="Arial"/>
          <w:b/>
          <w:bCs/>
          <w:sz w:val="28"/>
          <w:szCs w:val="28"/>
        </w:rPr>
      </w:pPr>
      <w:r w:rsidRPr="006F3E1B">
        <w:rPr>
          <w:rFonts w:ascii="Arial" w:hAnsi="Arial" w:cs="Arial"/>
          <w:b/>
          <w:bCs/>
          <w:sz w:val="28"/>
          <w:szCs w:val="28"/>
        </w:rPr>
        <w:t xml:space="preserve">PROJETO </w:t>
      </w:r>
      <w:r w:rsidR="00B546A1" w:rsidRPr="006F3E1B">
        <w:rPr>
          <w:rFonts w:ascii="Arial" w:hAnsi="Arial" w:cs="Arial"/>
          <w:b/>
          <w:bCs/>
          <w:sz w:val="28"/>
          <w:szCs w:val="28"/>
        </w:rPr>
        <w:t xml:space="preserve">DE LEI Nº           </w:t>
      </w:r>
      <w:proofErr w:type="gramStart"/>
      <w:r w:rsidR="00B546A1" w:rsidRPr="006F3E1B">
        <w:rPr>
          <w:rFonts w:ascii="Arial" w:hAnsi="Arial" w:cs="Arial"/>
          <w:b/>
          <w:bCs/>
          <w:sz w:val="28"/>
          <w:szCs w:val="28"/>
        </w:rPr>
        <w:t xml:space="preserve">  ,</w:t>
      </w:r>
      <w:proofErr w:type="gramEnd"/>
      <w:r w:rsidR="00B546A1" w:rsidRPr="006F3E1B">
        <w:rPr>
          <w:rFonts w:ascii="Arial" w:hAnsi="Arial" w:cs="Arial"/>
          <w:b/>
          <w:bCs/>
          <w:sz w:val="28"/>
          <w:szCs w:val="28"/>
        </w:rPr>
        <w:t xml:space="preserve"> DE 2015</w:t>
      </w:r>
    </w:p>
    <w:p w:rsidR="009A4896" w:rsidRPr="006F3E1B" w:rsidRDefault="009A4896" w:rsidP="009A4896">
      <w:pPr>
        <w:widowControl w:val="0"/>
        <w:autoSpaceDE w:val="0"/>
        <w:autoSpaceDN w:val="0"/>
        <w:adjustRightInd w:val="0"/>
        <w:jc w:val="center"/>
        <w:rPr>
          <w:rFonts w:ascii="Arial" w:hAnsi="Arial" w:cs="Arial"/>
          <w:sz w:val="28"/>
          <w:szCs w:val="28"/>
        </w:rPr>
      </w:pPr>
      <w:r w:rsidRPr="006F3E1B">
        <w:rPr>
          <w:rFonts w:ascii="Arial" w:hAnsi="Arial" w:cs="Arial"/>
          <w:b/>
          <w:bCs/>
          <w:sz w:val="28"/>
          <w:szCs w:val="28"/>
        </w:rPr>
        <w:t xml:space="preserve">(Do Sr. </w:t>
      </w:r>
      <w:proofErr w:type="spellStart"/>
      <w:r w:rsidR="0052174D" w:rsidRPr="006F3E1B">
        <w:rPr>
          <w:rFonts w:ascii="Arial" w:hAnsi="Arial" w:cs="Arial"/>
          <w:b/>
          <w:bCs/>
          <w:sz w:val="28"/>
          <w:szCs w:val="28"/>
        </w:rPr>
        <w:t>Indio</w:t>
      </w:r>
      <w:proofErr w:type="spellEnd"/>
      <w:r w:rsidR="0052174D" w:rsidRPr="006F3E1B">
        <w:rPr>
          <w:rFonts w:ascii="Arial" w:hAnsi="Arial" w:cs="Arial"/>
          <w:b/>
          <w:bCs/>
          <w:sz w:val="28"/>
          <w:szCs w:val="28"/>
        </w:rPr>
        <w:t xml:space="preserve"> da Costa</w:t>
      </w:r>
      <w:r w:rsidRPr="006F3E1B">
        <w:rPr>
          <w:rFonts w:ascii="Arial" w:hAnsi="Arial" w:cs="Arial"/>
          <w:b/>
          <w:bCs/>
          <w:sz w:val="28"/>
          <w:szCs w:val="28"/>
        </w:rPr>
        <w:t>)</w:t>
      </w:r>
    </w:p>
    <w:p w:rsidR="009A4896" w:rsidRPr="008C5151" w:rsidRDefault="009A4896" w:rsidP="009A4896">
      <w:pPr>
        <w:widowControl w:val="0"/>
        <w:tabs>
          <w:tab w:val="left" w:pos="5895"/>
        </w:tabs>
        <w:autoSpaceDE w:val="0"/>
        <w:autoSpaceDN w:val="0"/>
        <w:adjustRightInd w:val="0"/>
        <w:rPr>
          <w:rFonts w:ascii="Arial" w:hAnsi="Arial" w:cs="Arial"/>
          <w:sz w:val="24"/>
          <w:szCs w:val="24"/>
        </w:rPr>
      </w:pPr>
      <w:r w:rsidRPr="008C5151">
        <w:rPr>
          <w:rFonts w:ascii="Arial" w:hAnsi="Arial" w:cs="Arial"/>
          <w:sz w:val="24"/>
          <w:szCs w:val="24"/>
        </w:rPr>
        <w:tab/>
      </w: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115CBD" w:rsidRPr="009349DA" w:rsidRDefault="003442AE" w:rsidP="003442AE">
      <w:pPr>
        <w:autoSpaceDE w:val="0"/>
        <w:autoSpaceDN w:val="0"/>
        <w:adjustRightInd w:val="0"/>
        <w:spacing w:after="0" w:line="240" w:lineRule="auto"/>
        <w:ind w:left="4111"/>
        <w:jc w:val="both"/>
        <w:rPr>
          <w:rFonts w:ascii="Arial" w:hAnsi="Arial" w:cs="Arial"/>
          <w:sz w:val="24"/>
          <w:szCs w:val="24"/>
          <w:lang w:eastAsia="en-US"/>
        </w:rPr>
      </w:pPr>
      <w:r w:rsidRPr="009349DA">
        <w:rPr>
          <w:rFonts w:ascii="Arial" w:hAnsi="Arial" w:cs="Arial"/>
          <w:sz w:val="24"/>
          <w:szCs w:val="24"/>
          <w:lang w:eastAsia="en-US"/>
        </w:rPr>
        <w:t>Altera a Lei nº 9.096, de 19 de setembro de 1995,</w:t>
      </w:r>
      <w:r w:rsidR="009349DA" w:rsidRPr="009349DA">
        <w:rPr>
          <w:rFonts w:ascii="Arial" w:hAnsi="Arial" w:cs="Arial"/>
          <w:sz w:val="24"/>
          <w:szCs w:val="24"/>
          <w:lang w:eastAsia="en-US"/>
        </w:rPr>
        <w:t xml:space="preserve"> que</w:t>
      </w:r>
      <w:r w:rsidR="009349DA" w:rsidRPr="009349DA">
        <w:rPr>
          <w:rFonts w:ascii="Arial" w:hAnsi="Arial" w:cs="Arial"/>
          <w:sz w:val="24"/>
          <w:szCs w:val="24"/>
          <w:shd w:val="clear" w:color="auto" w:fill="FFFFFF"/>
        </w:rPr>
        <w:t xml:space="preserve"> “dispõe sobre partidos políticos, regulamenta os </w:t>
      </w:r>
      <w:proofErr w:type="spellStart"/>
      <w:r w:rsidR="009349DA" w:rsidRPr="009349DA">
        <w:rPr>
          <w:rFonts w:ascii="Arial" w:hAnsi="Arial" w:cs="Arial"/>
          <w:sz w:val="24"/>
          <w:szCs w:val="24"/>
          <w:shd w:val="clear" w:color="auto" w:fill="FFFFFF"/>
        </w:rPr>
        <w:t>arts</w:t>
      </w:r>
      <w:proofErr w:type="spellEnd"/>
      <w:r w:rsidR="009349DA" w:rsidRPr="009349DA">
        <w:rPr>
          <w:rFonts w:ascii="Arial" w:hAnsi="Arial" w:cs="Arial"/>
          <w:sz w:val="24"/>
          <w:szCs w:val="24"/>
          <w:shd w:val="clear" w:color="auto" w:fill="FFFFFF"/>
        </w:rPr>
        <w:t>. 17 e 14, § 3º, inciso V, da Constituição Federal</w:t>
      </w:r>
      <w:r w:rsidR="009349DA">
        <w:rPr>
          <w:rFonts w:ascii="Arial" w:hAnsi="Arial" w:cs="Arial"/>
          <w:sz w:val="24"/>
          <w:szCs w:val="24"/>
          <w:shd w:val="clear" w:color="auto" w:fill="FFFFFF"/>
        </w:rPr>
        <w:t>”</w:t>
      </w:r>
      <w:r w:rsidR="009349DA" w:rsidRPr="009349DA">
        <w:rPr>
          <w:rFonts w:ascii="Arial" w:hAnsi="Arial" w:cs="Arial"/>
          <w:sz w:val="24"/>
          <w:szCs w:val="24"/>
          <w:shd w:val="clear" w:color="auto" w:fill="FFFFFF"/>
        </w:rPr>
        <w:t xml:space="preserve">, </w:t>
      </w:r>
      <w:r w:rsidR="009349DA">
        <w:rPr>
          <w:rFonts w:ascii="Arial" w:hAnsi="Arial" w:cs="Arial"/>
          <w:sz w:val="24"/>
          <w:szCs w:val="24"/>
          <w:shd w:val="clear" w:color="auto" w:fill="FFFFFF"/>
        </w:rPr>
        <w:t xml:space="preserve">com o </w:t>
      </w:r>
      <w:r w:rsidRPr="009349DA">
        <w:rPr>
          <w:rFonts w:ascii="Arial" w:hAnsi="Arial" w:cs="Arial"/>
          <w:sz w:val="24"/>
          <w:szCs w:val="24"/>
          <w:lang w:eastAsia="en-US"/>
        </w:rPr>
        <w:t xml:space="preserve">fim de prever a responsabilização dos partidos políticos por atos de corrupção e similares; acrescenta os </w:t>
      </w:r>
      <w:proofErr w:type="spellStart"/>
      <w:r w:rsidRPr="009349DA">
        <w:rPr>
          <w:rFonts w:ascii="Arial" w:hAnsi="Arial" w:cs="Arial"/>
          <w:sz w:val="24"/>
          <w:szCs w:val="24"/>
          <w:lang w:eastAsia="en-US"/>
        </w:rPr>
        <w:t>arts</w:t>
      </w:r>
      <w:proofErr w:type="spellEnd"/>
      <w:r w:rsidRPr="009349DA">
        <w:rPr>
          <w:rFonts w:ascii="Arial" w:hAnsi="Arial" w:cs="Arial"/>
          <w:sz w:val="24"/>
          <w:szCs w:val="24"/>
          <w:lang w:eastAsia="en-US"/>
        </w:rPr>
        <w:t>. 32-A e 32-B à</w:t>
      </w:r>
      <w:r w:rsidR="009349DA">
        <w:rPr>
          <w:rFonts w:ascii="Arial" w:hAnsi="Arial" w:cs="Arial"/>
          <w:sz w:val="24"/>
          <w:szCs w:val="24"/>
          <w:lang w:eastAsia="en-US"/>
        </w:rPr>
        <w:t xml:space="preserve"> </w:t>
      </w:r>
      <w:r w:rsidRPr="009349DA">
        <w:rPr>
          <w:rFonts w:ascii="Arial" w:hAnsi="Arial" w:cs="Arial"/>
          <w:sz w:val="24"/>
          <w:szCs w:val="24"/>
          <w:lang w:eastAsia="en-US"/>
        </w:rPr>
        <w:t xml:space="preserve">Lei nº 9.504, de 30 de setembro 1997, para tornar crime o </w:t>
      </w:r>
      <w:r w:rsidR="009349DA" w:rsidRPr="009349DA">
        <w:rPr>
          <w:rFonts w:ascii="Arial" w:hAnsi="Arial" w:cs="Arial"/>
          <w:i/>
          <w:sz w:val="24"/>
          <w:szCs w:val="24"/>
          <w:lang w:eastAsia="en-US"/>
        </w:rPr>
        <w:t>“</w:t>
      </w:r>
      <w:r w:rsidRPr="009349DA">
        <w:rPr>
          <w:rFonts w:ascii="Arial" w:hAnsi="Arial" w:cs="Arial"/>
          <w:i/>
          <w:sz w:val="24"/>
          <w:szCs w:val="24"/>
          <w:lang w:eastAsia="en-US"/>
        </w:rPr>
        <w:t>caixa 2</w:t>
      </w:r>
      <w:r w:rsidR="009349DA">
        <w:rPr>
          <w:rFonts w:ascii="Arial" w:hAnsi="Arial" w:cs="Arial"/>
          <w:sz w:val="24"/>
          <w:szCs w:val="24"/>
          <w:lang w:eastAsia="en-US"/>
        </w:rPr>
        <w:t>”</w:t>
      </w:r>
      <w:r w:rsidRPr="009349DA">
        <w:rPr>
          <w:rFonts w:ascii="Arial" w:hAnsi="Arial" w:cs="Arial"/>
          <w:sz w:val="24"/>
          <w:szCs w:val="24"/>
          <w:lang w:eastAsia="en-US"/>
        </w:rPr>
        <w:t>, e altera a redação do art. 105-A da mesma lei</w:t>
      </w:r>
      <w:r w:rsidR="000E0123">
        <w:rPr>
          <w:rFonts w:ascii="Arial" w:hAnsi="Arial" w:cs="Arial"/>
          <w:sz w:val="24"/>
          <w:szCs w:val="24"/>
          <w:lang w:eastAsia="en-US"/>
        </w:rPr>
        <w:t>.</w:t>
      </w:r>
    </w:p>
    <w:p w:rsidR="00115CBD" w:rsidRPr="009349DA"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A068A6" w:rsidRDefault="00A068A6" w:rsidP="00115CBD">
      <w:pPr>
        <w:autoSpaceDE w:val="0"/>
        <w:autoSpaceDN w:val="0"/>
        <w:adjustRightInd w:val="0"/>
        <w:spacing w:after="0" w:line="240" w:lineRule="auto"/>
        <w:ind w:left="3969"/>
        <w:jc w:val="both"/>
        <w:rPr>
          <w:rFonts w:ascii="Arial" w:hAnsi="Arial" w:cs="Arial"/>
          <w:sz w:val="24"/>
          <w:szCs w:val="24"/>
          <w:lang w:eastAsia="en-US"/>
        </w:rPr>
      </w:pPr>
    </w:p>
    <w:p w:rsidR="00A068A6" w:rsidRDefault="00A068A6" w:rsidP="00115CBD">
      <w:pPr>
        <w:autoSpaceDE w:val="0"/>
        <w:autoSpaceDN w:val="0"/>
        <w:adjustRightInd w:val="0"/>
        <w:spacing w:after="0" w:line="240" w:lineRule="auto"/>
        <w:ind w:left="3969"/>
        <w:jc w:val="both"/>
        <w:rPr>
          <w:rFonts w:ascii="Arial" w:hAnsi="Arial" w:cs="Arial"/>
          <w:sz w:val="24"/>
          <w:szCs w:val="24"/>
          <w:lang w:eastAsia="en-US"/>
        </w:rPr>
      </w:pPr>
    </w:p>
    <w:p w:rsidR="00A068A6" w:rsidRDefault="00A068A6" w:rsidP="00115CBD">
      <w:pPr>
        <w:autoSpaceDE w:val="0"/>
        <w:autoSpaceDN w:val="0"/>
        <w:adjustRightInd w:val="0"/>
        <w:spacing w:after="0" w:line="240" w:lineRule="auto"/>
        <w:ind w:left="3969"/>
        <w:jc w:val="both"/>
        <w:rPr>
          <w:rFonts w:ascii="Arial" w:hAnsi="Arial" w:cs="Arial"/>
          <w:sz w:val="24"/>
          <w:szCs w:val="24"/>
          <w:lang w:eastAsia="en-US"/>
        </w:rPr>
      </w:pPr>
    </w:p>
    <w:p w:rsidR="00A068A6" w:rsidRPr="008C5151" w:rsidRDefault="00A068A6" w:rsidP="00115CBD">
      <w:pPr>
        <w:autoSpaceDE w:val="0"/>
        <w:autoSpaceDN w:val="0"/>
        <w:adjustRightInd w:val="0"/>
        <w:spacing w:after="0" w:line="240" w:lineRule="auto"/>
        <w:ind w:left="3969"/>
        <w:jc w:val="both"/>
        <w:rPr>
          <w:rFonts w:ascii="Arial" w:hAnsi="Arial" w:cs="Arial"/>
          <w:sz w:val="24"/>
          <w:szCs w:val="24"/>
          <w:lang w:eastAsia="en-US"/>
        </w:rPr>
      </w:pPr>
    </w:p>
    <w:p w:rsidR="00115CBD" w:rsidRPr="008C5151"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8C5151" w:rsidRPr="008C5151" w:rsidRDefault="008C5151" w:rsidP="00D67EB1">
      <w:pPr>
        <w:widowControl w:val="0"/>
        <w:autoSpaceDE w:val="0"/>
        <w:autoSpaceDN w:val="0"/>
        <w:adjustRightInd w:val="0"/>
        <w:spacing w:line="360" w:lineRule="auto"/>
        <w:rPr>
          <w:rFonts w:ascii="Arial" w:hAnsi="Arial" w:cs="Arial"/>
          <w:sz w:val="24"/>
          <w:szCs w:val="24"/>
        </w:rPr>
      </w:pPr>
      <w:r w:rsidRPr="008C5151">
        <w:rPr>
          <w:rFonts w:ascii="Arial" w:hAnsi="Arial" w:cs="Arial"/>
          <w:sz w:val="24"/>
          <w:szCs w:val="24"/>
        </w:rPr>
        <w:t>O Congresso Nacional decreta:</w:t>
      </w:r>
    </w:p>
    <w:p w:rsidR="008C5151" w:rsidRPr="008C5151" w:rsidRDefault="008C5151" w:rsidP="00D67EB1">
      <w:pPr>
        <w:autoSpaceDE w:val="0"/>
        <w:autoSpaceDN w:val="0"/>
        <w:adjustRightInd w:val="0"/>
        <w:spacing w:after="0" w:line="360" w:lineRule="auto"/>
        <w:ind w:left="3969"/>
        <w:jc w:val="both"/>
        <w:rPr>
          <w:rFonts w:ascii="Arial" w:hAnsi="Arial" w:cs="Arial"/>
          <w:sz w:val="24"/>
          <w:szCs w:val="24"/>
          <w:lang w:eastAsia="en-US"/>
        </w:rPr>
      </w:pPr>
    </w:p>
    <w:p w:rsidR="000E0123" w:rsidRDefault="006D6AE8" w:rsidP="000E0123">
      <w:pPr>
        <w:autoSpaceDE w:val="0"/>
        <w:autoSpaceDN w:val="0"/>
        <w:adjustRightInd w:val="0"/>
        <w:spacing w:after="0" w:line="360" w:lineRule="auto"/>
        <w:jc w:val="both"/>
        <w:rPr>
          <w:rFonts w:ascii="Arial" w:hAnsi="Arial" w:cs="Arial"/>
          <w:sz w:val="24"/>
          <w:szCs w:val="24"/>
          <w:lang w:eastAsia="en-US"/>
        </w:rPr>
      </w:pPr>
      <w:r>
        <w:rPr>
          <w:rFonts w:ascii="Arial" w:hAnsi="Arial" w:cs="Arial"/>
          <w:b/>
          <w:bCs/>
          <w:sz w:val="24"/>
          <w:szCs w:val="24"/>
          <w:lang w:eastAsia="en-US"/>
        </w:rPr>
        <w:t xml:space="preserve">Art. 1º </w:t>
      </w:r>
      <w:r>
        <w:rPr>
          <w:rFonts w:ascii="Arial" w:hAnsi="Arial" w:cs="Arial"/>
          <w:bCs/>
          <w:sz w:val="24"/>
          <w:szCs w:val="24"/>
          <w:lang w:eastAsia="en-US"/>
        </w:rPr>
        <w:t>Esta Lei tem o objetivo de alterar</w:t>
      </w:r>
      <w:r w:rsidRPr="009349DA">
        <w:rPr>
          <w:rFonts w:ascii="Arial" w:hAnsi="Arial" w:cs="Arial"/>
          <w:sz w:val="24"/>
          <w:szCs w:val="24"/>
          <w:lang w:eastAsia="en-US"/>
        </w:rPr>
        <w:t xml:space="preserve"> a Lei nº 9.096, de 19 de setembro de 1995, que</w:t>
      </w:r>
      <w:r w:rsidRPr="009349DA">
        <w:rPr>
          <w:rFonts w:ascii="Arial" w:hAnsi="Arial" w:cs="Arial"/>
          <w:sz w:val="24"/>
          <w:szCs w:val="24"/>
          <w:shd w:val="clear" w:color="auto" w:fill="FFFFFF"/>
        </w:rPr>
        <w:t xml:space="preserve"> “dispõe sobre partidos políticos, regulamenta os </w:t>
      </w:r>
      <w:proofErr w:type="spellStart"/>
      <w:r w:rsidRPr="009349DA">
        <w:rPr>
          <w:rFonts w:ascii="Arial" w:hAnsi="Arial" w:cs="Arial"/>
          <w:sz w:val="24"/>
          <w:szCs w:val="24"/>
          <w:shd w:val="clear" w:color="auto" w:fill="FFFFFF"/>
        </w:rPr>
        <w:t>arts</w:t>
      </w:r>
      <w:proofErr w:type="spellEnd"/>
      <w:r w:rsidRPr="009349DA">
        <w:rPr>
          <w:rFonts w:ascii="Arial" w:hAnsi="Arial" w:cs="Arial"/>
          <w:sz w:val="24"/>
          <w:szCs w:val="24"/>
          <w:shd w:val="clear" w:color="auto" w:fill="FFFFFF"/>
        </w:rPr>
        <w:t>. 17 e 14, § 3º, inciso V, da Constituição Federal</w:t>
      </w:r>
      <w:r>
        <w:rPr>
          <w:rFonts w:ascii="Arial" w:hAnsi="Arial" w:cs="Arial"/>
          <w:sz w:val="24"/>
          <w:szCs w:val="24"/>
          <w:shd w:val="clear" w:color="auto" w:fill="FFFFFF"/>
        </w:rPr>
        <w:t>, para prever</w:t>
      </w:r>
      <w:r w:rsidRPr="009349DA">
        <w:rPr>
          <w:rFonts w:ascii="Arial" w:hAnsi="Arial" w:cs="Arial"/>
          <w:sz w:val="24"/>
          <w:szCs w:val="24"/>
          <w:lang w:eastAsia="en-US"/>
        </w:rPr>
        <w:t xml:space="preserve"> a responsabilização dos partidos políticos por atos de corrupção e similares</w:t>
      </w:r>
      <w:r>
        <w:rPr>
          <w:rFonts w:ascii="Arial" w:hAnsi="Arial" w:cs="Arial"/>
          <w:sz w:val="24"/>
          <w:szCs w:val="24"/>
          <w:lang w:eastAsia="en-US"/>
        </w:rPr>
        <w:t>, bem como de acrescentar dispositivos à Lei nº 9.504, que “estabelece normas para as eleições”, para tornar crime eleitoral m</w:t>
      </w:r>
      <w:r w:rsidRPr="006D6AE8">
        <w:rPr>
          <w:rFonts w:ascii="Arial" w:hAnsi="Arial" w:cs="Arial"/>
          <w:sz w:val="24"/>
          <w:szCs w:val="24"/>
          <w:lang w:eastAsia="en-US"/>
        </w:rPr>
        <w:t>anter, movimentar</w:t>
      </w:r>
      <w:r>
        <w:rPr>
          <w:rFonts w:ascii="Arial" w:hAnsi="Arial" w:cs="Arial"/>
          <w:sz w:val="24"/>
          <w:szCs w:val="24"/>
          <w:lang w:eastAsia="en-US"/>
        </w:rPr>
        <w:t>, ocultar, dissimular</w:t>
      </w:r>
      <w:r w:rsidRPr="006D6AE8">
        <w:rPr>
          <w:rFonts w:ascii="Arial" w:hAnsi="Arial" w:cs="Arial"/>
          <w:sz w:val="24"/>
          <w:szCs w:val="24"/>
          <w:lang w:eastAsia="en-US"/>
        </w:rPr>
        <w:t xml:space="preserve"> ou utilizar qualquer recurso ou valor paralelamente à</w:t>
      </w:r>
      <w:r>
        <w:rPr>
          <w:rFonts w:ascii="Arial" w:hAnsi="Arial" w:cs="Arial"/>
          <w:sz w:val="24"/>
          <w:szCs w:val="24"/>
          <w:lang w:eastAsia="en-US"/>
        </w:rPr>
        <w:t xml:space="preserve"> </w:t>
      </w:r>
      <w:r w:rsidRPr="006D6AE8">
        <w:rPr>
          <w:rFonts w:ascii="Arial" w:hAnsi="Arial" w:cs="Arial"/>
          <w:sz w:val="24"/>
          <w:szCs w:val="24"/>
          <w:lang w:eastAsia="en-US"/>
        </w:rPr>
        <w:t>contabilidade exigida pela legislação eleitoral</w:t>
      </w:r>
      <w:r w:rsidR="000E0123">
        <w:rPr>
          <w:rFonts w:ascii="Arial" w:hAnsi="Arial" w:cs="Arial"/>
          <w:sz w:val="24"/>
          <w:szCs w:val="24"/>
          <w:lang w:eastAsia="en-US"/>
        </w:rPr>
        <w:t>, dentre outras providências.</w:t>
      </w:r>
    </w:p>
    <w:p w:rsidR="000E0123" w:rsidRDefault="000E0123" w:rsidP="000E0123">
      <w:pPr>
        <w:autoSpaceDE w:val="0"/>
        <w:autoSpaceDN w:val="0"/>
        <w:adjustRightInd w:val="0"/>
        <w:spacing w:after="0" w:line="360" w:lineRule="auto"/>
        <w:jc w:val="both"/>
        <w:rPr>
          <w:rFonts w:ascii="Arial" w:hAnsi="Arial" w:cs="Arial"/>
          <w:sz w:val="24"/>
          <w:szCs w:val="24"/>
          <w:lang w:eastAsia="en-US"/>
        </w:rPr>
      </w:pPr>
    </w:p>
    <w:p w:rsidR="003442AE" w:rsidRPr="006D6AE8" w:rsidRDefault="000E0123" w:rsidP="000E0123">
      <w:pPr>
        <w:autoSpaceDE w:val="0"/>
        <w:autoSpaceDN w:val="0"/>
        <w:adjustRightInd w:val="0"/>
        <w:spacing w:after="0" w:line="360" w:lineRule="auto"/>
        <w:jc w:val="both"/>
        <w:rPr>
          <w:rFonts w:ascii="Arial" w:hAnsi="Arial" w:cs="Arial"/>
          <w:sz w:val="24"/>
          <w:szCs w:val="24"/>
          <w:lang w:eastAsia="en-US"/>
        </w:rPr>
      </w:pPr>
      <w:r>
        <w:rPr>
          <w:rFonts w:ascii="Arial" w:hAnsi="Arial" w:cs="Arial"/>
          <w:b/>
          <w:bCs/>
          <w:sz w:val="24"/>
          <w:szCs w:val="24"/>
          <w:lang w:eastAsia="en-US"/>
        </w:rPr>
        <w:t>Art. 2</w:t>
      </w:r>
      <w:r w:rsidR="003442AE" w:rsidRPr="006D6AE8">
        <w:rPr>
          <w:rFonts w:ascii="Arial" w:hAnsi="Arial" w:cs="Arial"/>
          <w:b/>
          <w:bCs/>
          <w:sz w:val="24"/>
          <w:szCs w:val="24"/>
          <w:lang w:eastAsia="en-US"/>
        </w:rPr>
        <w:t xml:space="preserve">º </w:t>
      </w:r>
      <w:r w:rsidR="003442AE" w:rsidRPr="006D6AE8">
        <w:rPr>
          <w:rFonts w:ascii="Arial" w:hAnsi="Arial" w:cs="Arial"/>
          <w:sz w:val="24"/>
          <w:szCs w:val="24"/>
          <w:lang w:eastAsia="en-US"/>
        </w:rPr>
        <w:t>A Lei nº 9.096, de 19 de setembro de 1995, p</w:t>
      </w:r>
      <w:r>
        <w:rPr>
          <w:rFonts w:ascii="Arial" w:hAnsi="Arial" w:cs="Arial"/>
          <w:sz w:val="24"/>
          <w:szCs w:val="24"/>
          <w:lang w:eastAsia="en-US"/>
        </w:rPr>
        <w:t xml:space="preserve">assa a vigorar </w:t>
      </w:r>
      <w:proofErr w:type="gramStart"/>
      <w:r>
        <w:rPr>
          <w:rFonts w:ascii="Arial" w:hAnsi="Arial" w:cs="Arial"/>
          <w:sz w:val="24"/>
          <w:szCs w:val="24"/>
          <w:lang w:eastAsia="en-US"/>
        </w:rPr>
        <w:t>acrescida,  no</w:t>
      </w:r>
      <w:proofErr w:type="gramEnd"/>
      <w:r w:rsidR="009365EC">
        <w:rPr>
          <w:rFonts w:ascii="Arial" w:hAnsi="Arial" w:cs="Arial"/>
          <w:sz w:val="24"/>
          <w:szCs w:val="24"/>
          <w:lang w:eastAsia="en-US"/>
        </w:rPr>
        <w:t xml:space="preserve"> </w:t>
      </w:r>
      <w:r w:rsidR="003442AE" w:rsidRPr="006D6AE8">
        <w:rPr>
          <w:rFonts w:ascii="Arial" w:hAnsi="Arial" w:cs="Arial"/>
          <w:sz w:val="24"/>
          <w:szCs w:val="24"/>
          <w:lang w:eastAsia="en-US"/>
        </w:rPr>
        <w:t xml:space="preserve">Título </w:t>
      </w:r>
      <w:r>
        <w:rPr>
          <w:rFonts w:ascii="Arial" w:hAnsi="Arial" w:cs="Arial"/>
          <w:sz w:val="24"/>
          <w:szCs w:val="24"/>
          <w:lang w:eastAsia="en-US"/>
        </w:rPr>
        <w:t>V</w:t>
      </w:r>
      <w:r w:rsidR="003442AE" w:rsidRPr="006D6AE8">
        <w:rPr>
          <w:rFonts w:ascii="Arial" w:hAnsi="Arial" w:cs="Arial"/>
          <w:sz w:val="24"/>
          <w:szCs w:val="24"/>
          <w:lang w:eastAsia="en-US"/>
        </w:rPr>
        <w:t>, dos seguintes artigos:</w:t>
      </w:r>
    </w:p>
    <w:p w:rsidR="003442AE" w:rsidRPr="006D6AE8" w:rsidRDefault="00C6594F" w:rsidP="009365EC">
      <w:pPr>
        <w:autoSpaceDE w:val="0"/>
        <w:autoSpaceDN w:val="0"/>
        <w:adjustRightInd w:val="0"/>
        <w:spacing w:after="0" w:line="360" w:lineRule="auto"/>
        <w:ind w:left="567"/>
        <w:jc w:val="both"/>
        <w:rPr>
          <w:rFonts w:ascii="Arial" w:hAnsi="Arial" w:cs="Arial"/>
          <w:sz w:val="24"/>
          <w:szCs w:val="24"/>
          <w:lang w:eastAsia="en-US"/>
        </w:rPr>
      </w:pPr>
      <w:r>
        <w:rPr>
          <w:rFonts w:ascii="Arial" w:hAnsi="Arial" w:cs="Arial"/>
          <w:sz w:val="24"/>
          <w:szCs w:val="24"/>
          <w:lang w:eastAsia="en-US"/>
        </w:rPr>
        <w:t>“</w:t>
      </w:r>
      <w:r w:rsidR="003442AE" w:rsidRPr="006D6AE8">
        <w:rPr>
          <w:rFonts w:ascii="Arial" w:hAnsi="Arial" w:cs="Arial"/>
          <w:sz w:val="24"/>
          <w:szCs w:val="24"/>
          <w:lang w:eastAsia="en-US"/>
        </w:rPr>
        <w:t>Art. 49-A. Os partidos políticos serão responsabilizados objetivamente, no âmbito</w:t>
      </w:r>
      <w:r w:rsidR="000E0123">
        <w:rPr>
          <w:rFonts w:ascii="Arial" w:hAnsi="Arial" w:cs="Arial"/>
          <w:sz w:val="24"/>
          <w:szCs w:val="24"/>
          <w:lang w:eastAsia="en-US"/>
        </w:rPr>
        <w:t xml:space="preserve"> </w:t>
      </w:r>
      <w:r w:rsidR="003442AE" w:rsidRPr="006D6AE8">
        <w:rPr>
          <w:rFonts w:ascii="Arial" w:hAnsi="Arial" w:cs="Arial"/>
          <w:sz w:val="24"/>
          <w:szCs w:val="24"/>
          <w:lang w:eastAsia="en-US"/>
        </w:rPr>
        <w:t xml:space="preserve">administrativo, civil e eleitoral, pelas condutas descritas na Lei </w:t>
      </w:r>
      <w:r w:rsidR="003442AE" w:rsidRPr="006D6AE8">
        <w:rPr>
          <w:rFonts w:ascii="Arial" w:hAnsi="Arial" w:cs="Arial"/>
          <w:sz w:val="24"/>
          <w:szCs w:val="24"/>
          <w:lang w:eastAsia="en-US"/>
        </w:rPr>
        <w:lastRenderedPageBreak/>
        <w:t>nº 12.846, de 1º de agosto</w:t>
      </w:r>
      <w:r w:rsidR="000E0123">
        <w:rPr>
          <w:rFonts w:ascii="Arial" w:hAnsi="Arial" w:cs="Arial"/>
          <w:sz w:val="24"/>
          <w:szCs w:val="24"/>
          <w:lang w:eastAsia="en-US"/>
        </w:rPr>
        <w:t xml:space="preserve"> </w:t>
      </w:r>
      <w:r w:rsidR="003442AE" w:rsidRPr="006D6AE8">
        <w:rPr>
          <w:rFonts w:ascii="Arial" w:hAnsi="Arial" w:cs="Arial"/>
          <w:sz w:val="24"/>
          <w:szCs w:val="24"/>
          <w:lang w:eastAsia="en-US"/>
        </w:rPr>
        <w:t>de 2013, praticadas em seu interesse ou benefício, exclusivo ou não, e também por:</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xml:space="preserve">I – </w:t>
      </w:r>
      <w:proofErr w:type="gramStart"/>
      <w:r w:rsidRPr="006D6AE8">
        <w:rPr>
          <w:rFonts w:ascii="Arial" w:hAnsi="Arial" w:cs="Arial"/>
          <w:sz w:val="24"/>
          <w:szCs w:val="24"/>
          <w:lang w:eastAsia="en-US"/>
        </w:rPr>
        <w:t>manter ou movimentar</w:t>
      </w:r>
      <w:proofErr w:type="gramEnd"/>
      <w:r w:rsidRPr="006D6AE8">
        <w:rPr>
          <w:rFonts w:ascii="Arial" w:hAnsi="Arial" w:cs="Arial"/>
          <w:sz w:val="24"/>
          <w:szCs w:val="24"/>
          <w:lang w:eastAsia="en-US"/>
        </w:rPr>
        <w:t xml:space="preserve"> qualquer tipo de recurso ou valor paralelamente à contabilidade</w:t>
      </w:r>
      <w:r w:rsidR="000E0123">
        <w:rPr>
          <w:rFonts w:ascii="Arial" w:hAnsi="Arial" w:cs="Arial"/>
          <w:sz w:val="24"/>
          <w:szCs w:val="24"/>
          <w:lang w:eastAsia="en-US"/>
        </w:rPr>
        <w:t xml:space="preserve"> </w:t>
      </w:r>
      <w:r w:rsidRPr="006D6AE8">
        <w:rPr>
          <w:rFonts w:ascii="Arial" w:hAnsi="Arial" w:cs="Arial"/>
          <w:sz w:val="24"/>
          <w:szCs w:val="24"/>
          <w:lang w:eastAsia="en-US"/>
        </w:rPr>
        <w:t>exigida pela legislação eleitoral;</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xml:space="preserve">II – </w:t>
      </w:r>
      <w:proofErr w:type="gramStart"/>
      <w:r w:rsidRPr="006D6AE8">
        <w:rPr>
          <w:rFonts w:ascii="Arial" w:hAnsi="Arial" w:cs="Arial"/>
          <w:sz w:val="24"/>
          <w:szCs w:val="24"/>
          <w:lang w:eastAsia="en-US"/>
        </w:rPr>
        <w:t>ocultar ou dissimular</w:t>
      </w:r>
      <w:proofErr w:type="gramEnd"/>
      <w:r w:rsidRPr="006D6AE8">
        <w:rPr>
          <w:rFonts w:ascii="Arial" w:hAnsi="Arial" w:cs="Arial"/>
          <w:sz w:val="24"/>
          <w:szCs w:val="24"/>
          <w:lang w:eastAsia="en-US"/>
        </w:rPr>
        <w:t xml:space="preserve"> a natureza, origem, localização, disposição, movimentação ou</w:t>
      </w:r>
      <w:r w:rsidR="000E0123">
        <w:rPr>
          <w:rFonts w:ascii="Arial" w:hAnsi="Arial" w:cs="Arial"/>
          <w:sz w:val="24"/>
          <w:szCs w:val="24"/>
          <w:lang w:eastAsia="en-US"/>
        </w:rPr>
        <w:t xml:space="preserve"> </w:t>
      </w:r>
      <w:r w:rsidRPr="006D6AE8">
        <w:rPr>
          <w:rFonts w:ascii="Arial" w:hAnsi="Arial" w:cs="Arial"/>
          <w:sz w:val="24"/>
          <w:szCs w:val="24"/>
          <w:lang w:eastAsia="en-US"/>
        </w:rPr>
        <w:t>propriedade de bens, direitos ou valores provenientes, direta ou indiretamente, de infração</w:t>
      </w:r>
      <w:r w:rsidR="000E0123">
        <w:rPr>
          <w:rFonts w:ascii="Arial" w:hAnsi="Arial" w:cs="Arial"/>
          <w:sz w:val="24"/>
          <w:szCs w:val="24"/>
          <w:lang w:eastAsia="en-US"/>
        </w:rPr>
        <w:t xml:space="preserve"> </w:t>
      </w:r>
      <w:r w:rsidRPr="006D6AE8">
        <w:rPr>
          <w:rFonts w:ascii="Arial" w:hAnsi="Arial" w:cs="Arial"/>
          <w:sz w:val="24"/>
          <w:szCs w:val="24"/>
          <w:lang w:eastAsia="en-US"/>
        </w:rPr>
        <w:t>penal, de fontes de recursos vedadas pela legislação eleitoral ou que não tenham sido</w:t>
      </w:r>
      <w:r w:rsidR="000E0123">
        <w:rPr>
          <w:rFonts w:ascii="Arial" w:hAnsi="Arial" w:cs="Arial"/>
          <w:sz w:val="24"/>
          <w:szCs w:val="24"/>
          <w:lang w:eastAsia="en-US"/>
        </w:rPr>
        <w:t xml:space="preserve"> </w:t>
      </w:r>
      <w:r w:rsidRPr="006D6AE8">
        <w:rPr>
          <w:rFonts w:ascii="Arial" w:hAnsi="Arial" w:cs="Arial"/>
          <w:sz w:val="24"/>
          <w:szCs w:val="24"/>
          <w:lang w:eastAsia="en-US"/>
        </w:rPr>
        <w:t>contabilizados na forma exigida pela legislação;</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III – utilizar, para fins eleitorais, bens, direitos ou valores provenientes de infração penal,</w:t>
      </w:r>
      <w:r w:rsidR="000E0123">
        <w:rPr>
          <w:rFonts w:ascii="Arial" w:hAnsi="Arial" w:cs="Arial"/>
          <w:sz w:val="24"/>
          <w:szCs w:val="24"/>
          <w:lang w:eastAsia="en-US"/>
        </w:rPr>
        <w:t xml:space="preserve"> </w:t>
      </w:r>
      <w:r w:rsidRPr="006D6AE8">
        <w:rPr>
          <w:rFonts w:ascii="Arial" w:hAnsi="Arial" w:cs="Arial"/>
          <w:sz w:val="24"/>
          <w:szCs w:val="24"/>
          <w:lang w:eastAsia="en-US"/>
        </w:rPr>
        <w:t>de fontes de recursos vedadas pela legislação eleitoral ou que não tenham sido</w:t>
      </w:r>
      <w:r w:rsidR="000E0123">
        <w:rPr>
          <w:rFonts w:ascii="Arial" w:hAnsi="Arial" w:cs="Arial"/>
          <w:sz w:val="24"/>
          <w:szCs w:val="24"/>
          <w:lang w:eastAsia="en-US"/>
        </w:rPr>
        <w:t xml:space="preserve"> </w:t>
      </w:r>
      <w:r w:rsidRPr="006D6AE8">
        <w:rPr>
          <w:rFonts w:ascii="Arial" w:hAnsi="Arial" w:cs="Arial"/>
          <w:sz w:val="24"/>
          <w:szCs w:val="24"/>
          <w:lang w:eastAsia="en-US"/>
        </w:rPr>
        <w:t>contabilizados na forma exigida pela legislação.</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1º A responsabilização dos partidos políticos não exclui a responsabilidade individual de</w:t>
      </w:r>
      <w:r w:rsidR="000E0123">
        <w:rPr>
          <w:rFonts w:ascii="Arial" w:hAnsi="Arial" w:cs="Arial"/>
          <w:sz w:val="24"/>
          <w:szCs w:val="24"/>
          <w:lang w:eastAsia="en-US"/>
        </w:rPr>
        <w:t xml:space="preserve"> </w:t>
      </w:r>
      <w:r w:rsidRPr="006D6AE8">
        <w:rPr>
          <w:rFonts w:ascii="Arial" w:hAnsi="Arial" w:cs="Arial"/>
          <w:sz w:val="24"/>
          <w:szCs w:val="24"/>
          <w:lang w:eastAsia="en-US"/>
        </w:rPr>
        <w:t>seus dirigentes e administradores ou de qualquer pessoa, física ou jurídica, que tenha</w:t>
      </w:r>
      <w:r w:rsidR="000E0123">
        <w:rPr>
          <w:rFonts w:ascii="Arial" w:hAnsi="Arial" w:cs="Arial"/>
          <w:sz w:val="24"/>
          <w:szCs w:val="24"/>
          <w:lang w:eastAsia="en-US"/>
        </w:rPr>
        <w:t xml:space="preserve"> </w:t>
      </w:r>
      <w:r w:rsidRPr="006D6AE8">
        <w:rPr>
          <w:rFonts w:ascii="Arial" w:hAnsi="Arial" w:cs="Arial"/>
          <w:sz w:val="24"/>
          <w:szCs w:val="24"/>
          <w:lang w:eastAsia="en-US"/>
        </w:rPr>
        <w:t xml:space="preserve">colaborado para os atos ilícitos, nem impede a </w:t>
      </w:r>
      <w:r w:rsidR="000E0123">
        <w:rPr>
          <w:rFonts w:ascii="Arial" w:hAnsi="Arial" w:cs="Arial"/>
          <w:sz w:val="24"/>
          <w:szCs w:val="24"/>
          <w:lang w:eastAsia="en-US"/>
        </w:rPr>
        <w:t>r</w:t>
      </w:r>
      <w:r w:rsidRPr="006D6AE8">
        <w:rPr>
          <w:rFonts w:ascii="Arial" w:hAnsi="Arial" w:cs="Arial"/>
          <w:sz w:val="24"/>
          <w:szCs w:val="24"/>
          <w:lang w:eastAsia="en-US"/>
        </w:rPr>
        <w:t>esponsabilização civil, criminal ou eleitoral</w:t>
      </w:r>
      <w:r w:rsidR="000E0123">
        <w:rPr>
          <w:rFonts w:ascii="Arial" w:hAnsi="Arial" w:cs="Arial"/>
          <w:sz w:val="24"/>
          <w:szCs w:val="24"/>
          <w:lang w:eastAsia="en-US"/>
        </w:rPr>
        <w:t xml:space="preserve"> </w:t>
      </w:r>
      <w:r w:rsidRPr="006D6AE8">
        <w:rPr>
          <w:rFonts w:ascii="Arial" w:hAnsi="Arial" w:cs="Arial"/>
          <w:sz w:val="24"/>
          <w:szCs w:val="24"/>
          <w:lang w:eastAsia="en-US"/>
        </w:rPr>
        <w:t>em decorrência dos mesmos atos.</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2º A responsabilidade, no âmbito dos partidos políticos, será da direção municipal,</w:t>
      </w:r>
      <w:r w:rsidR="000E0123">
        <w:rPr>
          <w:rFonts w:ascii="Arial" w:hAnsi="Arial" w:cs="Arial"/>
          <w:sz w:val="24"/>
          <w:szCs w:val="24"/>
          <w:lang w:eastAsia="en-US"/>
        </w:rPr>
        <w:t xml:space="preserve"> </w:t>
      </w:r>
      <w:r w:rsidRPr="006D6AE8">
        <w:rPr>
          <w:rFonts w:ascii="Arial" w:hAnsi="Arial" w:cs="Arial"/>
          <w:sz w:val="24"/>
          <w:szCs w:val="24"/>
          <w:lang w:eastAsia="en-US"/>
        </w:rPr>
        <w:t>estadual ou nacional, a depender da circunscrição eleitoral afetada pelas irregularidades.</w:t>
      </w:r>
    </w:p>
    <w:p w:rsidR="003442AE"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3º Em caso de fusão ou incorporação dos partidos políticos, o novo partido ou o</w:t>
      </w:r>
      <w:r w:rsidR="009365EC">
        <w:rPr>
          <w:rFonts w:ascii="Arial" w:hAnsi="Arial" w:cs="Arial"/>
          <w:sz w:val="24"/>
          <w:szCs w:val="24"/>
          <w:lang w:eastAsia="en-US"/>
        </w:rPr>
        <w:t xml:space="preserve"> </w:t>
      </w:r>
      <w:r w:rsidRPr="006D6AE8">
        <w:rPr>
          <w:rFonts w:ascii="Arial" w:hAnsi="Arial" w:cs="Arial"/>
          <w:sz w:val="24"/>
          <w:szCs w:val="24"/>
          <w:lang w:eastAsia="en-US"/>
        </w:rPr>
        <w:t>incorporante permanecerá responsável, podendo prosseguir contra ele o processo e ser</w:t>
      </w:r>
      <w:r w:rsidR="009365EC">
        <w:rPr>
          <w:rFonts w:ascii="Arial" w:hAnsi="Arial" w:cs="Arial"/>
          <w:sz w:val="24"/>
          <w:szCs w:val="24"/>
          <w:lang w:eastAsia="en-US"/>
        </w:rPr>
        <w:t xml:space="preserve"> </w:t>
      </w:r>
      <w:r w:rsidRPr="006D6AE8">
        <w:rPr>
          <w:rFonts w:ascii="Arial" w:hAnsi="Arial" w:cs="Arial"/>
          <w:sz w:val="24"/>
          <w:szCs w:val="24"/>
          <w:lang w:eastAsia="en-US"/>
        </w:rPr>
        <w:t>aplicada a ele a sanção fixada. A alteração do nome dos partidos políticos ou da</w:t>
      </w:r>
      <w:r w:rsidR="009365EC">
        <w:rPr>
          <w:rFonts w:ascii="Arial" w:hAnsi="Arial" w:cs="Arial"/>
          <w:sz w:val="24"/>
          <w:szCs w:val="24"/>
          <w:lang w:eastAsia="en-US"/>
        </w:rPr>
        <w:t xml:space="preserve"> </w:t>
      </w:r>
      <w:r w:rsidRPr="006D6AE8">
        <w:rPr>
          <w:rFonts w:ascii="Arial" w:hAnsi="Arial" w:cs="Arial"/>
          <w:sz w:val="24"/>
          <w:szCs w:val="24"/>
          <w:lang w:eastAsia="en-US"/>
        </w:rPr>
        <w:t xml:space="preserve">composição de seus corpos diretivos não elide a </w:t>
      </w:r>
      <w:proofErr w:type="gramStart"/>
      <w:r w:rsidRPr="006D6AE8">
        <w:rPr>
          <w:rFonts w:ascii="Arial" w:hAnsi="Arial" w:cs="Arial"/>
          <w:sz w:val="24"/>
          <w:szCs w:val="24"/>
          <w:lang w:eastAsia="en-US"/>
        </w:rPr>
        <w:t>responsabilidade.</w:t>
      </w:r>
      <w:r w:rsidR="00C6594F">
        <w:rPr>
          <w:rFonts w:ascii="Arial" w:hAnsi="Arial" w:cs="Arial"/>
          <w:sz w:val="24"/>
          <w:szCs w:val="24"/>
          <w:lang w:eastAsia="en-US"/>
        </w:rPr>
        <w:t>”</w:t>
      </w:r>
      <w:proofErr w:type="gramEnd"/>
      <w:r w:rsidR="00C6594F">
        <w:rPr>
          <w:rFonts w:ascii="Arial" w:hAnsi="Arial" w:cs="Arial"/>
          <w:sz w:val="24"/>
          <w:szCs w:val="24"/>
          <w:lang w:eastAsia="en-US"/>
        </w:rPr>
        <w:t xml:space="preserve"> (NR)</w:t>
      </w:r>
    </w:p>
    <w:p w:rsidR="009365EC" w:rsidRPr="006D6AE8" w:rsidRDefault="009365EC" w:rsidP="009365EC">
      <w:pPr>
        <w:autoSpaceDE w:val="0"/>
        <w:autoSpaceDN w:val="0"/>
        <w:adjustRightInd w:val="0"/>
        <w:spacing w:after="0" w:line="360" w:lineRule="auto"/>
        <w:ind w:left="567"/>
        <w:jc w:val="both"/>
        <w:rPr>
          <w:rFonts w:ascii="Arial" w:hAnsi="Arial" w:cs="Arial"/>
          <w:sz w:val="24"/>
          <w:szCs w:val="24"/>
          <w:lang w:eastAsia="en-US"/>
        </w:rPr>
      </w:pPr>
    </w:p>
    <w:p w:rsidR="003442AE" w:rsidRPr="006D6AE8" w:rsidRDefault="00C6594F" w:rsidP="009365EC">
      <w:pPr>
        <w:autoSpaceDE w:val="0"/>
        <w:autoSpaceDN w:val="0"/>
        <w:adjustRightInd w:val="0"/>
        <w:spacing w:after="0" w:line="360" w:lineRule="auto"/>
        <w:ind w:left="567"/>
        <w:jc w:val="both"/>
        <w:rPr>
          <w:rFonts w:ascii="Arial" w:hAnsi="Arial" w:cs="Arial"/>
          <w:sz w:val="24"/>
          <w:szCs w:val="24"/>
          <w:lang w:eastAsia="en-US"/>
        </w:rPr>
      </w:pPr>
      <w:r>
        <w:rPr>
          <w:rFonts w:ascii="Arial" w:hAnsi="Arial" w:cs="Arial"/>
          <w:sz w:val="24"/>
          <w:szCs w:val="24"/>
          <w:lang w:eastAsia="en-US"/>
        </w:rPr>
        <w:t>“</w:t>
      </w:r>
      <w:r w:rsidR="003442AE" w:rsidRPr="006D6AE8">
        <w:rPr>
          <w:rFonts w:ascii="Arial" w:hAnsi="Arial" w:cs="Arial"/>
          <w:sz w:val="24"/>
          <w:szCs w:val="24"/>
          <w:lang w:eastAsia="en-US"/>
        </w:rPr>
        <w:t>Art. 49-B. As sanções aplicáveis aos partidos políticos, do âmbito da circunscrição</w:t>
      </w:r>
      <w:r w:rsidR="009365EC">
        <w:rPr>
          <w:rFonts w:ascii="Arial" w:hAnsi="Arial" w:cs="Arial"/>
          <w:sz w:val="24"/>
          <w:szCs w:val="24"/>
          <w:lang w:eastAsia="en-US"/>
        </w:rPr>
        <w:t xml:space="preserve"> </w:t>
      </w:r>
      <w:r w:rsidR="003442AE" w:rsidRPr="006D6AE8">
        <w:rPr>
          <w:rFonts w:ascii="Arial" w:hAnsi="Arial" w:cs="Arial"/>
          <w:sz w:val="24"/>
          <w:szCs w:val="24"/>
          <w:lang w:eastAsia="en-US"/>
        </w:rPr>
        <w:t>eleitoral onde houve a irregularidade, são as seguintes:</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xml:space="preserve">I – </w:t>
      </w:r>
      <w:proofErr w:type="gramStart"/>
      <w:r w:rsidRPr="006D6AE8">
        <w:rPr>
          <w:rFonts w:ascii="Arial" w:hAnsi="Arial" w:cs="Arial"/>
          <w:sz w:val="24"/>
          <w:szCs w:val="24"/>
          <w:lang w:eastAsia="en-US"/>
        </w:rPr>
        <w:t>multa</w:t>
      </w:r>
      <w:proofErr w:type="gramEnd"/>
      <w:r w:rsidRPr="006D6AE8">
        <w:rPr>
          <w:rFonts w:ascii="Arial" w:hAnsi="Arial" w:cs="Arial"/>
          <w:sz w:val="24"/>
          <w:szCs w:val="24"/>
          <w:lang w:eastAsia="en-US"/>
        </w:rPr>
        <w:t xml:space="preserve"> no valor de 10% a 40% do valor dos repasses do fundo partidário, relativos ao</w:t>
      </w:r>
      <w:r w:rsidR="009365EC">
        <w:rPr>
          <w:rFonts w:ascii="Arial" w:hAnsi="Arial" w:cs="Arial"/>
          <w:sz w:val="24"/>
          <w:szCs w:val="24"/>
          <w:lang w:eastAsia="en-US"/>
        </w:rPr>
        <w:t xml:space="preserve"> </w:t>
      </w:r>
      <w:r w:rsidRPr="006D6AE8">
        <w:rPr>
          <w:rFonts w:ascii="Arial" w:hAnsi="Arial" w:cs="Arial"/>
          <w:sz w:val="24"/>
          <w:szCs w:val="24"/>
          <w:lang w:eastAsia="en-US"/>
        </w:rPr>
        <w:t>exercício no qual ocorreu a ilicitude, a serem descontados dos novos repasses do ano</w:t>
      </w:r>
      <w:r w:rsidR="009365EC">
        <w:rPr>
          <w:rFonts w:ascii="Arial" w:hAnsi="Arial" w:cs="Arial"/>
          <w:sz w:val="24"/>
          <w:szCs w:val="24"/>
          <w:lang w:eastAsia="en-US"/>
        </w:rPr>
        <w:t xml:space="preserve"> </w:t>
      </w:r>
      <w:r w:rsidRPr="006D6AE8">
        <w:rPr>
          <w:rFonts w:ascii="Arial" w:hAnsi="Arial" w:cs="Arial"/>
          <w:sz w:val="24"/>
          <w:szCs w:val="24"/>
          <w:lang w:eastAsia="en-US"/>
        </w:rPr>
        <w:t>seguinte ou anos seguintes ao da condenação, sem prejuízo das sanções pela desaprovação</w:t>
      </w:r>
      <w:r w:rsidR="009365EC">
        <w:rPr>
          <w:rFonts w:ascii="Arial" w:hAnsi="Arial" w:cs="Arial"/>
          <w:sz w:val="24"/>
          <w:szCs w:val="24"/>
          <w:lang w:eastAsia="en-US"/>
        </w:rPr>
        <w:t xml:space="preserve"> </w:t>
      </w:r>
      <w:r w:rsidRPr="006D6AE8">
        <w:rPr>
          <w:rFonts w:ascii="Arial" w:hAnsi="Arial" w:cs="Arial"/>
          <w:sz w:val="24"/>
          <w:szCs w:val="24"/>
          <w:lang w:eastAsia="en-US"/>
        </w:rPr>
        <w:t>das contas;</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xml:space="preserve">II – </w:t>
      </w:r>
      <w:proofErr w:type="gramStart"/>
      <w:r w:rsidRPr="006D6AE8">
        <w:rPr>
          <w:rFonts w:ascii="Arial" w:hAnsi="Arial" w:cs="Arial"/>
          <w:sz w:val="24"/>
          <w:szCs w:val="24"/>
          <w:lang w:eastAsia="en-US"/>
        </w:rPr>
        <w:t>se</w:t>
      </w:r>
      <w:proofErr w:type="gramEnd"/>
      <w:r w:rsidRPr="006D6AE8">
        <w:rPr>
          <w:rFonts w:ascii="Arial" w:hAnsi="Arial" w:cs="Arial"/>
          <w:sz w:val="24"/>
          <w:szCs w:val="24"/>
          <w:lang w:eastAsia="en-US"/>
        </w:rPr>
        <w:t xml:space="preserve"> o ilícito ocorrer ao longo de mais de um exercício, os valores serão somados;</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III – o valor da multa não deve ser inferior ao da vantagem auferida.</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lastRenderedPageBreak/>
        <w:t>§ 1º O juiz ou tribunal eleitoral poderá determinar, cautelarmente, a suspensão dos repasses</w:t>
      </w:r>
      <w:r w:rsidR="009365EC">
        <w:rPr>
          <w:rFonts w:ascii="Arial" w:hAnsi="Arial" w:cs="Arial"/>
          <w:sz w:val="24"/>
          <w:szCs w:val="24"/>
          <w:lang w:eastAsia="en-US"/>
        </w:rPr>
        <w:t xml:space="preserve"> </w:t>
      </w:r>
      <w:r w:rsidRPr="006D6AE8">
        <w:rPr>
          <w:rFonts w:ascii="Arial" w:hAnsi="Arial" w:cs="Arial"/>
          <w:sz w:val="24"/>
          <w:szCs w:val="24"/>
          <w:lang w:eastAsia="en-US"/>
        </w:rPr>
        <w:t>do fundo partidário no valor equivalente ao valor mínimo da multa prevista.</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2º Para a dosimetria do valor da multa, o juiz ou tribunal eleitoral considerará, entre</w:t>
      </w:r>
      <w:r w:rsidR="009365EC">
        <w:rPr>
          <w:rFonts w:ascii="Arial" w:hAnsi="Arial" w:cs="Arial"/>
          <w:sz w:val="24"/>
          <w:szCs w:val="24"/>
          <w:lang w:eastAsia="en-US"/>
        </w:rPr>
        <w:t xml:space="preserve"> </w:t>
      </w:r>
      <w:r w:rsidRPr="006D6AE8">
        <w:rPr>
          <w:rFonts w:ascii="Arial" w:hAnsi="Arial" w:cs="Arial"/>
          <w:sz w:val="24"/>
          <w:szCs w:val="24"/>
          <w:lang w:eastAsia="en-US"/>
        </w:rPr>
        <w:t>outros itens, o prejuízo causado pelo ato ilícito à administração pública, ao sistema</w:t>
      </w:r>
      <w:r w:rsidR="009365EC">
        <w:rPr>
          <w:rFonts w:ascii="Arial" w:hAnsi="Arial" w:cs="Arial"/>
          <w:sz w:val="24"/>
          <w:szCs w:val="24"/>
          <w:lang w:eastAsia="en-US"/>
        </w:rPr>
        <w:t xml:space="preserve"> </w:t>
      </w:r>
      <w:r w:rsidRPr="006D6AE8">
        <w:rPr>
          <w:rFonts w:ascii="Arial" w:hAnsi="Arial" w:cs="Arial"/>
          <w:sz w:val="24"/>
          <w:szCs w:val="24"/>
          <w:lang w:eastAsia="en-US"/>
        </w:rPr>
        <w:t>representativo, à lisura e legitimidade dos pleitos eleitorais e à igualdade entre candidatos.</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3º O pagamento da multa não elide a responsabilidade do partido político em ressarcir</w:t>
      </w:r>
      <w:r w:rsidR="009365EC">
        <w:rPr>
          <w:rFonts w:ascii="Arial" w:hAnsi="Arial" w:cs="Arial"/>
          <w:sz w:val="24"/>
          <w:szCs w:val="24"/>
          <w:lang w:eastAsia="en-US"/>
        </w:rPr>
        <w:t xml:space="preserve"> </w:t>
      </w:r>
      <w:r w:rsidRPr="006D6AE8">
        <w:rPr>
          <w:rFonts w:ascii="Arial" w:hAnsi="Arial" w:cs="Arial"/>
          <w:sz w:val="24"/>
          <w:szCs w:val="24"/>
          <w:lang w:eastAsia="en-US"/>
        </w:rPr>
        <w:t>integralmente o dano causado à administração pública.</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4º Se as irregularidades tiverem grave dimensão, para a qual a multa, embora fixada em</w:t>
      </w:r>
      <w:r w:rsidR="009365EC">
        <w:rPr>
          <w:rFonts w:ascii="Arial" w:hAnsi="Arial" w:cs="Arial"/>
          <w:sz w:val="24"/>
          <w:szCs w:val="24"/>
          <w:lang w:eastAsia="en-US"/>
        </w:rPr>
        <w:t xml:space="preserve"> </w:t>
      </w:r>
      <w:r w:rsidRPr="006D6AE8">
        <w:rPr>
          <w:rFonts w:ascii="Arial" w:hAnsi="Arial" w:cs="Arial"/>
          <w:sz w:val="24"/>
          <w:szCs w:val="24"/>
          <w:lang w:eastAsia="en-US"/>
        </w:rPr>
        <w:t>valor máximo, for considerada insuficiente, o juiz ou tribunal eleitoral poderá determinar a</w:t>
      </w:r>
      <w:r w:rsidR="009365EC">
        <w:rPr>
          <w:rFonts w:ascii="Arial" w:hAnsi="Arial" w:cs="Arial"/>
          <w:sz w:val="24"/>
          <w:szCs w:val="24"/>
          <w:lang w:eastAsia="en-US"/>
        </w:rPr>
        <w:t xml:space="preserve"> </w:t>
      </w:r>
      <w:r w:rsidRPr="006D6AE8">
        <w:rPr>
          <w:rFonts w:ascii="Arial" w:hAnsi="Arial" w:cs="Arial"/>
          <w:sz w:val="24"/>
          <w:szCs w:val="24"/>
          <w:lang w:eastAsia="en-US"/>
        </w:rPr>
        <w:t>suspensão do funcionamento do diretório do partido na circunscrição onde foram</w:t>
      </w:r>
      <w:r w:rsidR="009365EC">
        <w:rPr>
          <w:rFonts w:ascii="Arial" w:hAnsi="Arial" w:cs="Arial"/>
          <w:sz w:val="24"/>
          <w:szCs w:val="24"/>
          <w:lang w:eastAsia="en-US"/>
        </w:rPr>
        <w:t xml:space="preserve"> </w:t>
      </w:r>
      <w:r w:rsidRPr="006D6AE8">
        <w:rPr>
          <w:rFonts w:ascii="Arial" w:hAnsi="Arial" w:cs="Arial"/>
          <w:sz w:val="24"/>
          <w:szCs w:val="24"/>
          <w:lang w:eastAsia="en-US"/>
        </w:rPr>
        <w:t>praticadas as irregularidades, pelo prazo de 2 (dois) a 4 (quatro) anos.</w:t>
      </w:r>
    </w:p>
    <w:p w:rsidR="003442AE"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5º No caso do parágrafo anterior, o Ministério Público Eleitoral poderá requerer ao T</w:t>
      </w:r>
      <w:r w:rsidR="009365EC">
        <w:rPr>
          <w:rFonts w:ascii="Arial" w:hAnsi="Arial" w:cs="Arial"/>
          <w:sz w:val="24"/>
          <w:szCs w:val="24"/>
          <w:lang w:eastAsia="en-US"/>
        </w:rPr>
        <w:t xml:space="preserve">ribunal </w:t>
      </w:r>
      <w:r w:rsidRPr="006D6AE8">
        <w:rPr>
          <w:rFonts w:ascii="Arial" w:hAnsi="Arial" w:cs="Arial"/>
          <w:sz w:val="24"/>
          <w:szCs w:val="24"/>
          <w:lang w:eastAsia="en-US"/>
        </w:rPr>
        <w:t>S</w:t>
      </w:r>
      <w:r w:rsidR="009365EC">
        <w:rPr>
          <w:rFonts w:ascii="Arial" w:hAnsi="Arial" w:cs="Arial"/>
          <w:sz w:val="24"/>
          <w:szCs w:val="24"/>
          <w:lang w:eastAsia="en-US"/>
        </w:rPr>
        <w:t xml:space="preserve">uperior </w:t>
      </w:r>
      <w:r w:rsidRPr="006D6AE8">
        <w:rPr>
          <w:rFonts w:ascii="Arial" w:hAnsi="Arial" w:cs="Arial"/>
          <w:sz w:val="24"/>
          <w:szCs w:val="24"/>
          <w:lang w:eastAsia="en-US"/>
        </w:rPr>
        <w:t>E</w:t>
      </w:r>
      <w:r w:rsidR="009365EC">
        <w:rPr>
          <w:rFonts w:ascii="Arial" w:hAnsi="Arial" w:cs="Arial"/>
          <w:sz w:val="24"/>
          <w:szCs w:val="24"/>
          <w:lang w:eastAsia="en-US"/>
        </w:rPr>
        <w:t xml:space="preserve">leitoral </w:t>
      </w:r>
      <w:r w:rsidRPr="006D6AE8">
        <w:rPr>
          <w:rFonts w:ascii="Arial" w:hAnsi="Arial" w:cs="Arial"/>
          <w:sz w:val="24"/>
          <w:szCs w:val="24"/>
          <w:lang w:eastAsia="en-US"/>
        </w:rPr>
        <w:t>o cancelamento do registro da agremiação partidária, se as condutas forem de</w:t>
      </w:r>
      <w:r w:rsidR="009365EC">
        <w:rPr>
          <w:rFonts w:ascii="Arial" w:hAnsi="Arial" w:cs="Arial"/>
          <w:sz w:val="24"/>
          <w:szCs w:val="24"/>
          <w:lang w:eastAsia="en-US"/>
        </w:rPr>
        <w:t xml:space="preserve"> </w:t>
      </w:r>
      <w:r w:rsidRPr="006D6AE8">
        <w:rPr>
          <w:rFonts w:ascii="Arial" w:hAnsi="Arial" w:cs="Arial"/>
          <w:sz w:val="24"/>
          <w:szCs w:val="24"/>
          <w:lang w:eastAsia="en-US"/>
        </w:rPr>
        <w:t xml:space="preserve">responsabilidade de seu diretório </w:t>
      </w:r>
      <w:proofErr w:type="gramStart"/>
      <w:r w:rsidRPr="006D6AE8">
        <w:rPr>
          <w:rFonts w:ascii="Arial" w:hAnsi="Arial" w:cs="Arial"/>
          <w:sz w:val="24"/>
          <w:szCs w:val="24"/>
          <w:lang w:eastAsia="en-US"/>
        </w:rPr>
        <w:t>nacional.</w:t>
      </w:r>
      <w:r w:rsidR="00C6594F">
        <w:rPr>
          <w:rFonts w:ascii="Arial" w:hAnsi="Arial" w:cs="Arial"/>
          <w:sz w:val="24"/>
          <w:szCs w:val="24"/>
          <w:lang w:eastAsia="en-US"/>
        </w:rPr>
        <w:t>”</w:t>
      </w:r>
      <w:proofErr w:type="gramEnd"/>
      <w:r w:rsidR="00C6594F">
        <w:rPr>
          <w:rFonts w:ascii="Arial" w:hAnsi="Arial" w:cs="Arial"/>
          <w:sz w:val="24"/>
          <w:szCs w:val="24"/>
          <w:lang w:eastAsia="en-US"/>
        </w:rPr>
        <w:t xml:space="preserve"> (NR)</w:t>
      </w:r>
    </w:p>
    <w:p w:rsidR="009365EC" w:rsidRPr="006D6AE8" w:rsidRDefault="009365EC" w:rsidP="009365EC">
      <w:pPr>
        <w:autoSpaceDE w:val="0"/>
        <w:autoSpaceDN w:val="0"/>
        <w:adjustRightInd w:val="0"/>
        <w:spacing w:after="0" w:line="360" w:lineRule="auto"/>
        <w:ind w:left="567"/>
        <w:jc w:val="both"/>
        <w:rPr>
          <w:rFonts w:ascii="Arial" w:hAnsi="Arial" w:cs="Arial"/>
          <w:sz w:val="24"/>
          <w:szCs w:val="24"/>
          <w:lang w:eastAsia="en-US"/>
        </w:rPr>
      </w:pPr>
    </w:p>
    <w:p w:rsidR="003442AE" w:rsidRPr="006D6AE8" w:rsidRDefault="00C6594F" w:rsidP="009365EC">
      <w:pPr>
        <w:autoSpaceDE w:val="0"/>
        <w:autoSpaceDN w:val="0"/>
        <w:adjustRightInd w:val="0"/>
        <w:spacing w:after="0" w:line="360" w:lineRule="auto"/>
        <w:ind w:left="567"/>
        <w:jc w:val="both"/>
        <w:rPr>
          <w:rFonts w:ascii="Arial" w:hAnsi="Arial" w:cs="Arial"/>
          <w:sz w:val="24"/>
          <w:szCs w:val="24"/>
          <w:lang w:eastAsia="en-US"/>
        </w:rPr>
      </w:pPr>
      <w:r>
        <w:rPr>
          <w:rFonts w:ascii="Arial" w:hAnsi="Arial" w:cs="Arial"/>
          <w:sz w:val="24"/>
          <w:szCs w:val="24"/>
          <w:lang w:eastAsia="en-US"/>
        </w:rPr>
        <w:t>“</w:t>
      </w:r>
      <w:r w:rsidR="003442AE" w:rsidRPr="006D6AE8">
        <w:rPr>
          <w:rFonts w:ascii="Arial" w:hAnsi="Arial" w:cs="Arial"/>
          <w:sz w:val="24"/>
          <w:szCs w:val="24"/>
          <w:lang w:eastAsia="en-US"/>
        </w:rPr>
        <w:t>Art. 49-C. O processo e o julgamento da responsabilidade dos partidos políticos, nos</w:t>
      </w:r>
      <w:r w:rsidR="009365EC">
        <w:rPr>
          <w:rFonts w:ascii="Arial" w:hAnsi="Arial" w:cs="Arial"/>
          <w:sz w:val="24"/>
          <w:szCs w:val="24"/>
          <w:lang w:eastAsia="en-US"/>
        </w:rPr>
        <w:t xml:space="preserve"> </w:t>
      </w:r>
      <w:r w:rsidR="003442AE" w:rsidRPr="006D6AE8">
        <w:rPr>
          <w:rFonts w:ascii="Arial" w:hAnsi="Arial" w:cs="Arial"/>
          <w:sz w:val="24"/>
          <w:szCs w:val="24"/>
          <w:lang w:eastAsia="en-US"/>
        </w:rPr>
        <w:t xml:space="preserve">termos dos </w:t>
      </w:r>
      <w:proofErr w:type="spellStart"/>
      <w:r w:rsidR="003442AE" w:rsidRPr="006D6AE8">
        <w:rPr>
          <w:rFonts w:ascii="Arial" w:hAnsi="Arial" w:cs="Arial"/>
          <w:sz w:val="24"/>
          <w:szCs w:val="24"/>
          <w:lang w:eastAsia="en-US"/>
        </w:rPr>
        <w:t>arts</w:t>
      </w:r>
      <w:proofErr w:type="spellEnd"/>
      <w:r w:rsidR="003442AE" w:rsidRPr="006D6AE8">
        <w:rPr>
          <w:rFonts w:ascii="Arial" w:hAnsi="Arial" w:cs="Arial"/>
          <w:sz w:val="24"/>
          <w:szCs w:val="24"/>
          <w:lang w:eastAsia="en-US"/>
        </w:rPr>
        <w:t>. 49-A e 49-B, incumbem à Justiça Eleitoral, seguindo o rito do art. 22 da</w:t>
      </w:r>
      <w:r w:rsidR="009365EC">
        <w:rPr>
          <w:rFonts w:ascii="Arial" w:hAnsi="Arial" w:cs="Arial"/>
          <w:sz w:val="24"/>
          <w:szCs w:val="24"/>
          <w:lang w:eastAsia="en-US"/>
        </w:rPr>
        <w:t xml:space="preserve"> </w:t>
      </w:r>
      <w:r w:rsidR="003442AE" w:rsidRPr="006D6AE8">
        <w:rPr>
          <w:rFonts w:ascii="Arial" w:hAnsi="Arial" w:cs="Arial"/>
          <w:sz w:val="24"/>
          <w:szCs w:val="24"/>
          <w:lang w:eastAsia="en-US"/>
        </w:rPr>
        <w:t>Lei Complementar nº 64, de 18 de maio de 1990.</w:t>
      </w:r>
    </w:p>
    <w:p w:rsidR="009365EC"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1º Cabe ao Ministério Público Eleitoral a legitimidade para promover, perante a Justiça</w:t>
      </w:r>
      <w:r w:rsidR="009365EC">
        <w:rPr>
          <w:rFonts w:ascii="Arial" w:hAnsi="Arial" w:cs="Arial"/>
          <w:sz w:val="24"/>
          <w:szCs w:val="24"/>
          <w:lang w:eastAsia="en-US"/>
        </w:rPr>
        <w:t xml:space="preserve"> </w:t>
      </w:r>
      <w:r w:rsidRPr="006D6AE8">
        <w:rPr>
          <w:rFonts w:ascii="Arial" w:hAnsi="Arial" w:cs="Arial"/>
          <w:sz w:val="24"/>
          <w:szCs w:val="24"/>
          <w:lang w:eastAsia="en-US"/>
        </w:rPr>
        <w:t>Eleitoral, a ação de responsabilização dos partidos políticos.</w:t>
      </w:r>
      <w:r w:rsidR="009365EC">
        <w:rPr>
          <w:rFonts w:ascii="Arial" w:hAnsi="Arial" w:cs="Arial"/>
          <w:sz w:val="24"/>
          <w:szCs w:val="24"/>
          <w:lang w:eastAsia="en-US"/>
        </w:rPr>
        <w:t xml:space="preserve"> </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xml:space="preserve">§ 2º O Ministério Público Eleitoral poderá instaurar procedimento </w:t>
      </w:r>
      <w:proofErr w:type="spellStart"/>
      <w:r w:rsidRPr="006D6AE8">
        <w:rPr>
          <w:rFonts w:ascii="Arial" w:hAnsi="Arial" w:cs="Arial"/>
          <w:sz w:val="24"/>
          <w:szCs w:val="24"/>
          <w:lang w:eastAsia="en-US"/>
        </w:rPr>
        <w:t>apuratório</w:t>
      </w:r>
      <w:proofErr w:type="spellEnd"/>
      <w:r w:rsidRPr="006D6AE8">
        <w:rPr>
          <w:rFonts w:ascii="Arial" w:hAnsi="Arial" w:cs="Arial"/>
          <w:sz w:val="24"/>
          <w:szCs w:val="24"/>
          <w:lang w:eastAsia="en-US"/>
        </w:rPr>
        <w:t>, para os fins</w:t>
      </w:r>
      <w:r w:rsidR="009365EC">
        <w:rPr>
          <w:rFonts w:ascii="Arial" w:hAnsi="Arial" w:cs="Arial"/>
          <w:sz w:val="24"/>
          <w:szCs w:val="24"/>
          <w:lang w:eastAsia="en-US"/>
        </w:rPr>
        <w:t xml:space="preserve"> </w:t>
      </w:r>
      <w:r w:rsidRPr="006D6AE8">
        <w:rPr>
          <w:rFonts w:ascii="Arial" w:hAnsi="Arial" w:cs="Arial"/>
          <w:sz w:val="24"/>
          <w:szCs w:val="24"/>
          <w:lang w:eastAsia="en-US"/>
        </w:rPr>
        <w:t>do § 1º, que não excederá o prazo de 180 dias, admitida justificadamente a prorrogação,</w:t>
      </w:r>
      <w:r w:rsidR="009365EC">
        <w:rPr>
          <w:rFonts w:ascii="Arial" w:hAnsi="Arial" w:cs="Arial"/>
          <w:sz w:val="24"/>
          <w:szCs w:val="24"/>
          <w:lang w:eastAsia="en-US"/>
        </w:rPr>
        <w:t xml:space="preserve"> </w:t>
      </w:r>
      <w:r w:rsidRPr="006D6AE8">
        <w:rPr>
          <w:rFonts w:ascii="Arial" w:hAnsi="Arial" w:cs="Arial"/>
          <w:sz w:val="24"/>
          <w:szCs w:val="24"/>
          <w:lang w:eastAsia="en-US"/>
        </w:rPr>
        <w:t>podendo ouvir testemunhas, requisitar documentos e requerer as medidas judiciais</w:t>
      </w:r>
      <w:r w:rsidR="009365EC">
        <w:rPr>
          <w:rFonts w:ascii="Arial" w:hAnsi="Arial" w:cs="Arial"/>
          <w:sz w:val="24"/>
          <w:szCs w:val="24"/>
          <w:lang w:eastAsia="en-US"/>
        </w:rPr>
        <w:t xml:space="preserve"> </w:t>
      </w:r>
      <w:r w:rsidRPr="006D6AE8">
        <w:rPr>
          <w:rFonts w:ascii="Arial" w:hAnsi="Arial" w:cs="Arial"/>
          <w:sz w:val="24"/>
          <w:szCs w:val="24"/>
          <w:lang w:eastAsia="en-US"/>
        </w:rPr>
        <w:t>necessárias para a investigação, inclusive as de natureza cautelar, nos termos da legislação</w:t>
      </w:r>
      <w:r w:rsidR="009365EC">
        <w:rPr>
          <w:rFonts w:ascii="Arial" w:hAnsi="Arial" w:cs="Arial"/>
          <w:sz w:val="24"/>
          <w:szCs w:val="24"/>
          <w:lang w:eastAsia="en-US"/>
        </w:rPr>
        <w:t xml:space="preserve"> </w:t>
      </w:r>
      <w:r w:rsidRPr="006D6AE8">
        <w:rPr>
          <w:rFonts w:ascii="Arial" w:hAnsi="Arial" w:cs="Arial"/>
          <w:sz w:val="24"/>
          <w:szCs w:val="24"/>
          <w:lang w:eastAsia="en-US"/>
        </w:rPr>
        <w:t>processual civil.</w:t>
      </w:r>
    </w:p>
    <w:p w:rsidR="003442AE"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3º No âmbito dos tribunais, o processo será instruído pe</w:t>
      </w:r>
      <w:r w:rsidR="009365EC">
        <w:rPr>
          <w:rFonts w:ascii="Arial" w:hAnsi="Arial" w:cs="Arial"/>
          <w:sz w:val="24"/>
          <w:szCs w:val="24"/>
          <w:lang w:eastAsia="en-US"/>
        </w:rPr>
        <w:t xml:space="preserve">lo juiz ou ministro </w:t>
      </w:r>
      <w:proofErr w:type="gramStart"/>
      <w:r w:rsidR="009365EC">
        <w:rPr>
          <w:rFonts w:ascii="Arial" w:hAnsi="Arial" w:cs="Arial"/>
          <w:sz w:val="24"/>
          <w:szCs w:val="24"/>
          <w:lang w:eastAsia="en-US"/>
        </w:rPr>
        <w:t>corregedor.</w:t>
      </w:r>
      <w:r w:rsidR="00C6594F">
        <w:rPr>
          <w:rFonts w:ascii="Arial" w:hAnsi="Arial" w:cs="Arial"/>
          <w:sz w:val="24"/>
          <w:szCs w:val="24"/>
          <w:lang w:eastAsia="en-US"/>
        </w:rPr>
        <w:t>”</w:t>
      </w:r>
      <w:proofErr w:type="gramEnd"/>
      <w:r w:rsidR="00C6594F">
        <w:rPr>
          <w:rFonts w:ascii="Arial" w:hAnsi="Arial" w:cs="Arial"/>
          <w:sz w:val="24"/>
          <w:szCs w:val="24"/>
          <w:lang w:eastAsia="en-US"/>
        </w:rPr>
        <w:t xml:space="preserve"> (NR)</w:t>
      </w:r>
    </w:p>
    <w:p w:rsidR="009365EC" w:rsidRPr="006D6AE8" w:rsidRDefault="009365EC" w:rsidP="000E0123">
      <w:pPr>
        <w:autoSpaceDE w:val="0"/>
        <w:autoSpaceDN w:val="0"/>
        <w:adjustRightInd w:val="0"/>
        <w:spacing w:after="0" w:line="360" w:lineRule="auto"/>
        <w:jc w:val="both"/>
        <w:rPr>
          <w:rFonts w:ascii="Arial" w:hAnsi="Arial" w:cs="Arial"/>
          <w:sz w:val="24"/>
          <w:szCs w:val="24"/>
          <w:lang w:eastAsia="en-US"/>
        </w:rPr>
      </w:pPr>
    </w:p>
    <w:p w:rsidR="005567C5" w:rsidRDefault="005567C5" w:rsidP="000E0123">
      <w:pPr>
        <w:autoSpaceDE w:val="0"/>
        <w:autoSpaceDN w:val="0"/>
        <w:adjustRightInd w:val="0"/>
        <w:spacing w:after="0" w:line="360" w:lineRule="auto"/>
        <w:jc w:val="both"/>
        <w:rPr>
          <w:rFonts w:ascii="Arial" w:hAnsi="Arial" w:cs="Arial"/>
          <w:b/>
          <w:bCs/>
          <w:sz w:val="24"/>
          <w:szCs w:val="24"/>
          <w:lang w:eastAsia="en-US"/>
        </w:rPr>
      </w:pPr>
    </w:p>
    <w:p w:rsidR="003442AE" w:rsidRPr="006D6AE8" w:rsidRDefault="003442AE" w:rsidP="000E0123">
      <w:pPr>
        <w:autoSpaceDE w:val="0"/>
        <w:autoSpaceDN w:val="0"/>
        <w:adjustRightInd w:val="0"/>
        <w:spacing w:after="0" w:line="360" w:lineRule="auto"/>
        <w:jc w:val="both"/>
        <w:rPr>
          <w:rFonts w:ascii="Arial" w:hAnsi="Arial" w:cs="Arial"/>
          <w:sz w:val="24"/>
          <w:szCs w:val="24"/>
          <w:lang w:eastAsia="en-US"/>
        </w:rPr>
      </w:pPr>
      <w:r w:rsidRPr="006D6AE8">
        <w:rPr>
          <w:rFonts w:ascii="Arial" w:hAnsi="Arial" w:cs="Arial"/>
          <w:b/>
          <w:bCs/>
          <w:sz w:val="24"/>
          <w:szCs w:val="24"/>
          <w:lang w:eastAsia="en-US"/>
        </w:rPr>
        <w:t xml:space="preserve">Art. 2º </w:t>
      </w:r>
      <w:r w:rsidRPr="006D6AE8">
        <w:rPr>
          <w:rFonts w:ascii="Arial" w:hAnsi="Arial" w:cs="Arial"/>
          <w:sz w:val="24"/>
          <w:szCs w:val="24"/>
          <w:lang w:eastAsia="en-US"/>
        </w:rPr>
        <w:t xml:space="preserve">A Lei nº 9.504, de 30 de setembro de 1997, passa a vigorar acrescida dos </w:t>
      </w:r>
      <w:proofErr w:type="spellStart"/>
      <w:r w:rsidRPr="006D6AE8">
        <w:rPr>
          <w:rFonts w:ascii="Arial" w:hAnsi="Arial" w:cs="Arial"/>
          <w:sz w:val="24"/>
          <w:szCs w:val="24"/>
          <w:lang w:eastAsia="en-US"/>
        </w:rPr>
        <w:t>arts</w:t>
      </w:r>
      <w:proofErr w:type="spellEnd"/>
      <w:r w:rsidRPr="006D6AE8">
        <w:rPr>
          <w:rFonts w:ascii="Arial" w:hAnsi="Arial" w:cs="Arial"/>
          <w:sz w:val="24"/>
          <w:szCs w:val="24"/>
          <w:lang w:eastAsia="en-US"/>
        </w:rPr>
        <w:t>. 32-A e 32-B a seguir:</w:t>
      </w:r>
    </w:p>
    <w:p w:rsidR="009365EC" w:rsidRDefault="009365EC" w:rsidP="009365EC">
      <w:pPr>
        <w:autoSpaceDE w:val="0"/>
        <w:autoSpaceDN w:val="0"/>
        <w:adjustRightInd w:val="0"/>
        <w:spacing w:after="0" w:line="360" w:lineRule="auto"/>
        <w:ind w:left="567"/>
        <w:jc w:val="both"/>
        <w:rPr>
          <w:rFonts w:ascii="Arial" w:hAnsi="Arial" w:cs="Arial"/>
          <w:sz w:val="24"/>
          <w:szCs w:val="24"/>
          <w:lang w:eastAsia="en-US"/>
        </w:rPr>
      </w:pPr>
    </w:p>
    <w:p w:rsidR="003442AE" w:rsidRPr="006D6AE8" w:rsidRDefault="00C6594F" w:rsidP="009365EC">
      <w:pPr>
        <w:autoSpaceDE w:val="0"/>
        <w:autoSpaceDN w:val="0"/>
        <w:adjustRightInd w:val="0"/>
        <w:spacing w:after="0" w:line="360" w:lineRule="auto"/>
        <w:ind w:left="567"/>
        <w:jc w:val="both"/>
        <w:rPr>
          <w:rFonts w:ascii="Arial" w:hAnsi="Arial" w:cs="Arial"/>
          <w:sz w:val="24"/>
          <w:szCs w:val="24"/>
          <w:lang w:eastAsia="en-US"/>
        </w:rPr>
      </w:pPr>
      <w:r>
        <w:rPr>
          <w:rFonts w:ascii="Arial" w:hAnsi="Arial" w:cs="Arial"/>
          <w:sz w:val="24"/>
          <w:szCs w:val="24"/>
          <w:lang w:eastAsia="en-US"/>
        </w:rPr>
        <w:t>“</w:t>
      </w:r>
      <w:r w:rsidR="003442AE" w:rsidRPr="006D6AE8">
        <w:rPr>
          <w:rFonts w:ascii="Arial" w:hAnsi="Arial" w:cs="Arial"/>
          <w:sz w:val="24"/>
          <w:szCs w:val="24"/>
          <w:lang w:eastAsia="en-US"/>
        </w:rPr>
        <w:t>Art. 32-A. Manter, movimentar ou utilizar qualquer recurso ou valor paralelamente à</w:t>
      </w:r>
      <w:r w:rsidR="009365EC">
        <w:rPr>
          <w:rFonts w:ascii="Arial" w:hAnsi="Arial" w:cs="Arial"/>
          <w:sz w:val="24"/>
          <w:szCs w:val="24"/>
          <w:lang w:eastAsia="en-US"/>
        </w:rPr>
        <w:t xml:space="preserve"> </w:t>
      </w:r>
      <w:r w:rsidR="003442AE" w:rsidRPr="006D6AE8">
        <w:rPr>
          <w:rFonts w:ascii="Arial" w:hAnsi="Arial" w:cs="Arial"/>
          <w:sz w:val="24"/>
          <w:szCs w:val="24"/>
          <w:lang w:eastAsia="en-US"/>
        </w:rPr>
        <w:t>contabilidade exigida pela legislação eleitoral.</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Pena – Reclusão, de 2 (dois) a 5 (cinco) anos.</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1º Incorrem nas penas deste artigo os candidatos e os gestores e administradores dos</w:t>
      </w:r>
      <w:r w:rsidR="009365EC">
        <w:rPr>
          <w:rFonts w:ascii="Arial" w:hAnsi="Arial" w:cs="Arial"/>
          <w:sz w:val="24"/>
          <w:szCs w:val="24"/>
          <w:lang w:eastAsia="en-US"/>
        </w:rPr>
        <w:t xml:space="preserve"> </w:t>
      </w:r>
      <w:r w:rsidRPr="006D6AE8">
        <w:rPr>
          <w:rFonts w:ascii="Arial" w:hAnsi="Arial" w:cs="Arial"/>
          <w:sz w:val="24"/>
          <w:szCs w:val="24"/>
          <w:lang w:eastAsia="en-US"/>
        </w:rPr>
        <w:t>comitês financeiros dos partidos políticos e das coligações.</w:t>
      </w:r>
    </w:p>
    <w:p w:rsidR="003442AE"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2º A pena será aumentada de 1/3 (um terço) a 2/3 (dois terços), no caso de algum agente</w:t>
      </w:r>
      <w:r w:rsidR="009365EC">
        <w:rPr>
          <w:rFonts w:ascii="Arial" w:hAnsi="Arial" w:cs="Arial"/>
          <w:sz w:val="24"/>
          <w:szCs w:val="24"/>
          <w:lang w:eastAsia="en-US"/>
        </w:rPr>
        <w:t xml:space="preserve"> </w:t>
      </w:r>
      <w:r w:rsidRPr="006D6AE8">
        <w:rPr>
          <w:rFonts w:ascii="Arial" w:hAnsi="Arial" w:cs="Arial"/>
          <w:sz w:val="24"/>
          <w:szCs w:val="24"/>
          <w:lang w:eastAsia="en-US"/>
        </w:rPr>
        <w:t>público ou político concorrer, de qualquer modo, para a prática criminosa.</w:t>
      </w:r>
    </w:p>
    <w:p w:rsidR="009365EC" w:rsidRPr="006D6AE8" w:rsidRDefault="009365EC" w:rsidP="009365EC">
      <w:pPr>
        <w:autoSpaceDE w:val="0"/>
        <w:autoSpaceDN w:val="0"/>
        <w:adjustRightInd w:val="0"/>
        <w:spacing w:after="0" w:line="360" w:lineRule="auto"/>
        <w:ind w:left="567"/>
        <w:jc w:val="both"/>
        <w:rPr>
          <w:rFonts w:ascii="Arial" w:hAnsi="Arial" w:cs="Arial"/>
          <w:sz w:val="24"/>
          <w:szCs w:val="24"/>
          <w:lang w:eastAsia="en-US"/>
        </w:rPr>
      </w:pP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Art. 32-B. Ocultar ou dissimular, para fins eleitorais, a natureza, origem, localização,</w:t>
      </w:r>
      <w:r w:rsidR="009365EC">
        <w:rPr>
          <w:rFonts w:ascii="Arial" w:hAnsi="Arial" w:cs="Arial"/>
          <w:sz w:val="24"/>
          <w:szCs w:val="24"/>
          <w:lang w:eastAsia="en-US"/>
        </w:rPr>
        <w:t xml:space="preserve"> </w:t>
      </w:r>
      <w:r w:rsidRPr="006D6AE8">
        <w:rPr>
          <w:rFonts w:ascii="Arial" w:hAnsi="Arial" w:cs="Arial"/>
          <w:sz w:val="24"/>
          <w:szCs w:val="24"/>
          <w:lang w:eastAsia="en-US"/>
        </w:rPr>
        <w:t>disposição, movimentação ou propriedade de bens, direitos ou valores provenientes, direta</w:t>
      </w:r>
      <w:r w:rsidR="009365EC">
        <w:rPr>
          <w:rFonts w:ascii="Arial" w:hAnsi="Arial" w:cs="Arial"/>
          <w:sz w:val="24"/>
          <w:szCs w:val="24"/>
          <w:lang w:eastAsia="en-US"/>
        </w:rPr>
        <w:t xml:space="preserve"> </w:t>
      </w:r>
      <w:r w:rsidRPr="006D6AE8">
        <w:rPr>
          <w:rFonts w:ascii="Arial" w:hAnsi="Arial" w:cs="Arial"/>
          <w:sz w:val="24"/>
          <w:szCs w:val="24"/>
          <w:lang w:eastAsia="en-US"/>
        </w:rPr>
        <w:t>ou indiretamente, de infração penal, de fontes de recursos vedadas pela legislação eleitoral</w:t>
      </w:r>
      <w:r w:rsidR="009365EC">
        <w:rPr>
          <w:rFonts w:ascii="Arial" w:hAnsi="Arial" w:cs="Arial"/>
          <w:sz w:val="24"/>
          <w:szCs w:val="24"/>
          <w:lang w:eastAsia="en-US"/>
        </w:rPr>
        <w:t xml:space="preserve"> </w:t>
      </w:r>
      <w:r w:rsidRPr="006D6AE8">
        <w:rPr>
          <w:rFonts w:ascii="Arial" w:hAnsi="Arial" w:cs="Arial"/>
          <w:sz w:val="24"/>
          <w:szCs w:val="24"/>
          <w:lang w:eastAsia="en-US"/>
        </w:rPr>
        <w:t>ou que não tenham sido contabilizados na forma exigida pela legislação.</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Pena – Reclusão, de 3 (três) a 10 (dez) anos, e multa.</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1º Incorrem nas mesmas penas quem utiliza, para fins eleitorais, bens, direitos ou valores</w:t>
      </w:r>
      <w:r w:rsidR="009365EC">
        <w:rPr>
          <w:rFonts w:ascii="Arial" w:hAnsi="Arial" w:cs="Arial"/>
          <w:sz w:val="24"/>
          <w:szCs w:val="24"/>
          <w:lang w:eastAsia="en-US"/>
        </w:rPr>
        <w:t xml:space="preserve"> </w:t>
      </w:r>
      <w:r w:rsidRPr="006D6AE8">
        <w:rPr>
          <w:rFonts w:ascii="Arial" w:hAnsi="Arial" w:cs="Arial"/>
          <w:sz w:val="24"/>
          <w:szCs w:val="24"/>
          <w:lang w:eastAsia="en-US"/>
        </w:rPr>
        <w:t>provenientes de infração penal, de fontes de recursos vedadas pela legislação eleitoral ou</w:t>
      </w:r>
      <w:r w:rsidR="009365EC">
        <w:rPr>
          <w:rFonts w:ascii="Arial" w:hAnsi="Arial" w:cs="Arial"/>
          <w:sz w:val="24"/>
          <w:szCs w:val="24"/>
          <w:lang w:eastAsia="en-US"/>
        </w:rPr>
        <w:t xml:space="preserve"> </w:t>
      </w:r>
      <w:r w:rsidRPr="006D6AE8">
        <w:rPr>
          <w:rFonts w:ascii="Arial" w:hAnsi="Arial" w:cs="Arial"/>
          <w:sz w:val="24"/>
          <w:szCs w:val="24"/>
          <w:lang w:eastAsia="en-US"/>
        </w:rPr>
        <w:t>que não tenham sido contabilizados na forma exigida pela legislação.</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2º A pena será aumentada de 1/3 (um terço) a 2/3 (dois terços), se os crimes definidos</w:t>
      </w:r>
      <w:r w:rsidR="009365EC">
        <w:rPr>
          <w:rFonts w:ascii="Arial" w:hAnsi="Arial" w:cs="Arial"/>
          <w:sz w:val="24"/>
          <w:szCs w:val="24"/>
          <w:lang w:eastAsia="en-US"/>
        </w:rPr>
        <w:t xml:space="preserve"> </w:t>
      </w:r>
      <w:r w:rsidRPr="006D6AE8">
        <w:rPr>
          <w:rFonts w:ascii="Arial" w:hAnsi="Arial" w:cs="Arial"/>
          <w:sz w:val="24"/>
          <w:szCs w:val="24"/>
          <w:lang w:eastAsia="en-US"/>
        </w:rPr>
        <w:t xml:space="preserve">neste artigo forem cometidos de forma </w:t>
      </w:r>
      <w:proofErr w:type="gramStart"/>
      <w:r w:rsidRPr="006D6AE8">
        <w:rPr>
          <w:rFonts w:ascii="Arial" w:hAnsi="Arial" w:cs="Arial"/>
          <w:sz w:val="24"/>
          <w:szCs w:val="24"/>
          <w:lang w:eastAsia="en-US"/>
        </w:rPr>
        <w:t>reiterada.</w:t>
      </w:r>
      <w:r w:rsidR="00C6594F">
        <w:rPr>
          <w:rFonts w:ascii="Arial" w:hAnsi="Arial" w:cs="Arial"/>
          <w:sz w:val="24"/>
          <w:szCs w:val="24"/>
          <w:lang w:eastAsia="en-US"/>
        </w:rPr>
        <w:t>”</w:t>
      </w:r>
      <w:proofErr w:type="gramEnd"/>
      <w:r w:rsidR="00C6594F">
        <w:rPr>
          <w:rFonts w:ascii="Arial" w:hAnsi="Arial" w:cs="Arial"/>
          <w:sz w:val="24"/>
          <w:szCs w:val="24"/>
          <w:lang w:eastAsia="en-US"/>
        </w:rPr>
        <w:t xml:space="preserve"> (NR)</w:t>
      </w:r>
    </w:p>
    <w:p w:rsidR="009365EC" w:rsidRDefault="009365EC" w:rsidP="000E0123">
      <w:pPr>
        <w:autoSpaceDE w:val="0"/>
        <w:autoSpaceDN w:val="0"/>
        <w:adjustRightInd w:val="0"/>
        <w:spacing w:after="0" w:line="360" w:lineRule="auto"/>
        <w:jc w:val="both"/>
        <w:rPr>
          <w:rFonts w:ascii="Arial" w:hAnsi="Arial" w:cs="Arial"/>
          <w:b/>
          <w:bCs/>
          <w:sz w:val="24"/>
          <w:szCs w:val="24"/>
          <w:lang w:eastAsia="en-US"/>
        </w:rPr>
      </w:pPr>
    </w:p>
    <w:p w:rsidR="003442AE" w:rsidRPr="006D6AE8" w:rsidRDefault="003442AE" w:rsidP="000E0123">
      <w:pPr>
        <w:autoSpaceDE w:val="0"/>
        <w:autoSpaceDN w:val="0"/>
        <w:adjustRightInd w:val="0"/>
        <w:spacing w:after="0" w:line="360" w:lineRule="auto"/>
        <w:jc w:val="both"/>
        <w:rPr>
          <w:rFonts w:ascii="Arial" w:hAnsi="Arial" w:cs="Arial"/>
          <w:sz w:val="24"/>
          <w:szCs w:val="24"/>
          <w:lang w:eastAsia="en-US"/>
        </w:rPr>
      </w:pPr>
      <w:r w:rsidRPr="006D6AE8">
        <w:rPr>
          <w:rFonts w:ascii="Arial" w:hAnsi="Arial" w:cs="Arial"/>
          <w:b/>
          <w:bCs/>
          <w:sz w:val="24"/>
          <w:szCs w:val="24"/>
          <w:lang w:eastAsia="en-US"/>
        </w:rPr>
        <w:t xml:space="preserve">Art. 3º </w:t>
      </w:r>
      <w:r w:rsidRPr="006D6AE8">
        <w:rPr>
          <w:rFonts w:ascii="Arial" w:hAnsi="Arial" w:cs="Arial"/>
          <w:sz w:val="24"/>
          <w:szCs w:val="24"/>
          <w:lang w:eastAsia="en-US"/>
        </w:rPr>
        <w:t>O art. 105-A da Lei nº 9.504, de 30 de setembro de 1997, passa a vigorar com a</w:t>
      </w:r>
      <w:r w:rsidR="009365EC">
        <w:rPr>
          <w:rFonts w:ascii="Arial" w:hAnsi="Arial" w:cs="Arial"/>
          <w:sz w:val="24"/>
          <w:szCs w:val="24"/>
          <w:lang w:eastAsia="en-US"/>
        </w:rPr>
        <w:t xml:space="preserve"> </w:t>
      </w:r>
      <w:r w:rsidRPr="006D6AE8">
        <w:rPr>
          <w:rFonts w:ascii="Arial" w:hAnsi="Arial" w:cs="Arial"/>
          <w:sz w:val="24"/>
          <w:szCs w:val="24"/>
          <w:lang w:eastAsia="en-US"/>
        </w:rPr>
        <w:t>seguinte redação:</w:t>
      </w:r>
    </w:p>
    <w:p w:rsidR="009365EC"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 xml:space="preserve">“Art. 105-A. </w:t>
      </w:r>
      <w:r w:rsidR="009365EC">
        <w:rPr>
          <w:rFonts w:ascii="Arial" w:hAnsi="Arial" w:cs="Arial"/>
          <w:sz w:val="24"/>
          <w:szCs w:val="24"/>
          <w:lang w:eastAsia="en-US"/>
        </w:rPr>
        <w:t>..................................................................................................</w:t>
      </w:r>
    </w:p>
    <w:p w:rsidR="003442AE" w:rsidRPr="006D6AE8" w:rsidRDefault="003442AE" w:rsidP="009365EC">
      <w:pPr>
        <w:autoSpaceDE w:val="0"/>
        <w:autoSpaceDN w:val="0"/>
        <w:adjustRightInd w:val="0"/>
        <w:spacing w:after="0" w:line="360" w:lineRule="auto"/>
        <w:ind w:left="567"/>
        <w:jc w:val="both"/>
        <w:rPr>
          <w:rFonts w:ascii="Arial" w:hAnsi="Arial" w:cs="Arial"/>
          <w:sz w:val="24"/>
          <w:szCs w:val="24"/>
          <w:lang w:eastAsia="en-US"/>
        </w:rPr>
      </w:pPr>
      <w:r w:rsidRPr="006D6AE8">
        <w:rPr>
          <w:rFonts w:ascii="Arial" w:hAnsi="Arial" w:cs="Arial"/>
          <w:sz w:val="24"/>
          <w:szCs w:val="24"/>
          <w:lang w:eastAsia="en-US"/>
        </w:rPr>
        <w:t>Parágrafo único. Para apuração de condutas ilícitas descritas nesta lei, o Ministério Público</w:t>
      </w:r>
      <w:r w:rsidR="009365EC">
        <w:rPr>
          <w:rFonts w:ascii="Arial" w:hAnsi="Arial" w:cs="Arial"/>
          <w:sz w:val="24"/>
          <w:szCs w:val="24"/>
          <w:lang w:eastAsia="en-US"/>
        </w:rPr>
        <w:t xml:space="preserve"> </w:t>
      </w:r>
      <w:r w:rsidRPr="006D6AE8">
        <w:rPr>
          <w:rFonts w:ascii="Arial" w:hAnsi="Arial" w:cs="Arial"/>
          <w:sz w:val="24"/>
          <w:szCs w:val="24"/>
          <w:lang w:eastAsia="en-US"/>
        </w:rPr>
        <w:t>Eleitoral poderá instaurar procedimentos preparatórios e prazo máximo inicial de noventa</w:t>
      </w:r>
      <w:r w:rsidR="009365EC">
        <w:rPr>
          <w:rFonts w:ascii="Arial" w:hAnsi="Arial" w:cs="Arial"/>
          <w:sz w:val="24"/>
          <w:szCs w:val="24"/>
          <w:lang w:eastAsia="en-US"/>
        </w:rPr>
        <w:t xml:space="preserve"> </w:t>
      </w:r>
      <w:r w:rsidRPr="006D6AE8">
        <w:rPr>
          <w:rFonts w:ascii="Arial" w:hAnsi="Arial" w:cs="Arial"/>
          <w:sz w:val="24"/>
          <w:szCs w:val="24"/>
          <w:lang w:eastAsia="en-US"/>
        </w:rPr>
        <w:t xml:space="preserve">dias, nos termos de regulamentação a ser baixada pelo Procurador-Geral </w:t>
      </w:r>
      <w:proofErr w:type="gramStart"/>
      <w:r w:rsidRPr="006D6AE8">
        <w:rPr>
          <w:rFonts w:ascii="Arial" w:hAnsi="Arial" w:cs="Arial"/>
          <w:sz w:val="24"/>
          <w:szCs w:val="24"/>
          <w:lang w:eastAsia="en-US"/>
        </w:rPr>
        <w:t>Eleitoral.”</w:t>
      </w:r>
      <w:proofErr w:type="gramEnd"/>
      <w:r w:rsidR="00C6594F">
        <w:rPr>
          <w:rFonts w:ascii="Arial" w:hAnsi="Arial" w:cs="Arial"/>
          <w:sz w:val="24"/>
          <w:szCs w:val="24"/>
          <w:lang w:eastAsia="en-US"/>
        </w:rPr>
        <w:t xml:space="preserve"> </w:t>
      </w:r>
      <w:r w:rsidRPr="006D6AE8">
        <w:rPr>
          <w:rFonts w:ascii="Arial" w:hAnsi="Arial" w:cs="Arial"/>
          <w:sz w:val="24"/>
          <w:szCs w:val="24"/>
          <w:lang w:eastAsia="en-US"/>
        </w:rPr>
        <w:t>(NR)</w:t>
      </w:r>
    </w:p>
    <w:p w:rsidR="009365EC" w:rsidRDefault="009365EC" w:rsidP="000E0123">
      <w:pPr>
        <w:autoSpaceDE w:val="0"/>
        <w:autoSpaceDN w:val="0"/>
        <w:adjustRightInd w:val="0"/>
        <w:spacing w:after="0" w:line="360" w:lineRule="auto"/>
        <w:jc w:val="both"/>
        <w:rPr>
          <w:rFonts w:ascii="Arial" w:hAnsi="Arial" w:cs="Arial"/>
          <w:b/>
          <w:bCs/>
          <w:sz w:val="24"/>
          <w:szCs w:val="24"/>
          <w:lang w:eastAsia="en-US"/>
        </w:rPr>
      </w:pPr>
    </w:p>
    <w:p w:rsidR="00B546A1" w:rsidRPr="006D6AE8" w:rsidRDefault="003442AE" w:rsidP="000E0123">
      <w:pPr>
        <w:autoSpaceDE w:val="0"/>
        <w:autoSpaceDN w:val="0"/>
        <w:adjustRightInd w:val="0"/>
        <w:spacing w:after="0" w:line="360" w:lineRule="auto"/>
        <w:jc w:val="both"/>
        <w:rPr>
          <w:rFonts w:ascii="Arial" w:hAnsi="Arial" w:cs="Arial"/>
          <w:b/>
          <w:bCs/>
          <w:sz w:val="24"/>
          <w:szCs w:val="24"/>
          <w:u w:val="single"/>
          <w:lang w:eastAsia="en-US"/>
        </w:rPr>
      </w:pPr>
      <w:r w:rsidRPr="006D6AE8">
        <w:rPr>
          <w:rFonts w:ascii="Arial" w:hAnsi="Arial" w:cs="Arial"/>
          <w:b/>
          <w:bCs/>
          <w:sz w:val="24"/>
          <w:szCs w:val="24"/>
          <w:lang w:eastAsia="en-US"/>
        </w:rPr>
        <w:t xml:space="preserve">Art. 4º </w:t>
      </w:r>
      <w:r w:rsidRPr="006D6AE8">
        <w:rPr>
          <w:rFonts w:ascii="Arial" w:hAnsi="Arial" w:cs="Arial"/>
          <w:sz w:val="24"/>
          <w:szCs w:val="24"/>
          <w:lang w:eastAsia="en-US"/>
        </w:rPr>
        <w:t>Esta lei entra em vigor na data de sua publicação.</w:t>
      </w:r>
    </w:p>
    <w:p w:rsidR="00E834A4" w:rsidRPr="006D6AE8" w:rsidRDefault="00E834A4" w:rsidP="006D6AE8">
      <w:pPr>
        <w:autoSpaceDE w:val="0"/>
        <w:autoSpaceDN w:val="0"/>
        <w:adjustRightInd w:val="0"/>
        <w:spacing w:after="0" w:line="360" w:lineRule="auto"/>
        <w:jc w:val="both"/>
        <w:rPr>
          <w:rFonts w:ascii="Arial" w:hAnsi="Arial" w:cs="Arial"/>
          <w:b/>
          <w:bCs/>
          <w:sz w:val="24"/>
          <w:szCs w:val="24"/>
          <w:u w:val="single"/>
          <w:lang w:eastAsia="en-US"/>
        </w:rPr>
      </w:pPr>
    </w:p>
    <w:p w:rsidR="00E834A4" w:rsidRDefault="00E834A4" w:rsidP="00A068A6">
      <w:pPr>
        <w:autoSpaceDE w:val="0"/>
        <w:autoSpaceDN w:val="0"/>
        <w:adjustRightInd w:val="0"/>
        <w:spacing w:after="0" w:line="240" w:lineRule="auto"/>
        <w:jc w:val="both"/>
        <w:rPr>
          <w:rFonts w:ascii="Arial" w:hAnsi="Arial" w:cs="Arial"/>
          <w:b/>
          <w:bCs/>
          <w:sz w:val="32"/>
          <w:szCs w:val="32"/>
          <w:u w:val="single"/>
          <w:lang w:eastAsia="en-US"/>
        </w:rPr>
      </w:pPr>
    </w:p>
    <w:p w:rsidR="00115CBD" w:rsidRPr="00D67EB1" w:rsidRDefault="00115CBD" w:rsidP="00D67EB1">
      <w:pPr>
        <w:autoSpaceDE w:val="0"/>
        <w:autoSpaceDN w:val="0"/>
        <w:adjustRightInd w:val="0"/>
        <w:spacing w:after="0" w:line="240" w:lineRule="auto"/>
        <w:jc w:val="center"/>
        <w:rPr>
          <w:rFonts w:ascii="Arial" w:hAnsi="Arial" w:cs="Arial"/>
          <w:b/>
          <w:bCs/>
          <w:sz w:val="32"/>
          <w:szCs w:val="32"/>
          <w:u w:val="single"/>
          <w:lang w:eastAsia="en-US"/>
        </w:rPr>
      </w:pPr>
      <w:r w:rsidRPr="00D67EB1">
        <w:rPr>
          <w:rFonts w:ascii="Arial" w:hAnsi="Arial" w:cs="Arial"/>
          <w:b/>
          <w:bCs/>
          <w:sz w:val="32"/>
          <w:szCs w:val="32"/>
          <w:u w:val="single"/>
          <w:lang w:eastAsia="en-US"/>
        </w:rPr>
        <w:t>JUSTIFICATIVA</w:t>
      </w:r>
    </w:p>
    <w:p w:rsid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D67EB1" w:rsidRPr="00D67EB1" w:rsidRDefault="00D67EB1" w:rsidP="00D67EB1">
      <w:pPr>
        <w:autoSpaceDE w:val="0"/>
        <w:autoSpaceDN w:val="0"/>
        <w:adjustRightInd w:val="0"/>
        <w:spacing w:after="0" w:line="240" w:lineRule="auto"/>
        <w:jc w:val="center"/>
        <w:rPr>
          <w:rFonts w:ascii="Arial" w:hAnsi="Arial" w:cs="Arial"/>
          <w:b/>
          <w:bCs/>
          <w:sz w:val="24"/>
          <w:szCs w:val="24"/>
          <w:u w:val="single"/>
          <w:lang w:eastAsia="en-US"/>
        </w:rPr>
      </w:pPr>
    </w:p>
    <w:p w:rsidR="0008130B" w:rsidRDefault="0008130B" w:rsidP="0008130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08130B" w:rsidRDefault="0008130B" w:rsidP="0008130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E50002">
        <w:rPr>
          <w:rFonts w:ascii="Arial" w:hAnsi="Arial" w:cs="Arial"/>
          <w:sz w:val="24"/>
          <w:szCs w:val="24"/>
        </w:rPr>
        <w:t>Deltan</w:t>
      </w:r>
      <w:proofErr w:type="spellEnd"/>
      <w:r w:rsidR="00E50002">
        <w:rPr>
          <w:rFonts w:ascii="Arial" w:hAnsi="Arial" w:cs="Arial"/>
          <w:sz w:val="24"/>
          <w:szCs w:val="24"/>
        </w:rPr>
        <w:t xml:space="preserve"> Dallagnol</w:t>
      </w:r>
      <w:bookmarkStart w:id="0" w:name="_GoBack"/>
      <w:bookmarkEnd w:id="0"/>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08130B" w:rsidRDefault="0008130B" w:rsidP="0008130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08130B" w:rsidRDefault="0008130B" w:rsidP="0008130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08130B" w:rsidRDefault="0008130B" w:rsidP="0008130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08130B" w:rsidRDefault="0008130B" w:rsidP="0008130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08130B" w:rsidRDefault="0008130B" w:rsidP="0008130B">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08130B" w:rsidRDefault="0008130B" w:rsidP="00C6594F">
      <w:pPr>
        <w:autoSpaceDE w:val="0"/>
        <w:autoSpaceDN w:val="0"/>
        <w:adjustRightInd w:val="0"/>
        <w:spacing w:after="0" w:line="360" w:lineRule="auto"/>
        <w:ind w:firstLine="709"/>
        <w:jc w:val="both"/>
        <w:rPr>
          <w:rFonts w:ascii="Arial" w:hAnsi="Arial" w:cs="Arial"/>
          <w:sz w:val="24"/>
          <w:szCs w:val="24"/>
          <w:lang w:eastAsia="en-US"/>
        </w:rPr>
      </w:pPr>
    </w:p>
    <w:p w:rsidR="003442AE" w:rsidRPr="00C6594F" w:rsidRDefault="005C5361" w:rsidP="00C6594F">
      <w:pPr>
        <w:autoSpaceDE w:val="0"/>
        <w:autoSpaceDN w:val="0"/>
        <w:adjustRightInd w:val="0"/>
        <w:spacing w:after="0" w:line="360" w:lineRule="auto"/>
        <w:ind w:firstLine="709"/>
        <w:jc w:val="both"/>
        <w:rPr>
          <w:rFonts w:ascii="Arial" w:hAnsi="Arial" w:cs="Arial"/>
          <w:sz w:val="24"/>
          <w:szCs w:val="24"/>
          <w:lang w:eastAsia="en-US"/>
        </w:rPr>
      </w:pPr>
      <w:r>
        <w:rPr>
          <w:rFonts w:ascii="Arial" w:hAnsi="Arial" w:cs="Arial"/>
          <w:sz w:val="24"/>
          <w:szCs w:val="24"/>
          <w:lang w:eastAsia="en-US"/>
        </w:rPr>
        <w:t xml:space="preserve">A </w:t>
      </w:r>
      <w:r w:rsidR="003442AE" w:rsidRPr="00C6594F">
        <w:rPr>
          <w:rFonts w:ascii="Arial" w:hAnsi="Arial" w:cs="Arial"/>
          <w:sz w:val="24"/>
          <w:szCs w:val="24"/>
          <w:lang w:eastAsia="en-US"/>
        </w:rPr>
        <w:t>contínua evolução da legislação brasileira relativa ao combate à corrupção</w:t>
      </w:r>
      <w:r w:rsidR="00C6594F">
        <w:rPr>
          <w:rFonts w:ascii="Arial" w:hAnsi="Arial" w:cs="Arial"/>
          <w:sz w:val="24"/>
          <w:szCs w:val="24"/>
          <w:lang w:eastAsia="en-US"/>
        </w:rPr>
        <w:t xml:space="preserve"> </w:t>
      </w:r>
      <w:r w:rsidR="003442AE" w:rsidRPr="00C6594F">
        <w:rPr>
          <w:rFonts w:ascii="Arial" w:hAnsi="Arial" w:cs="Arial"/>
          <w:sz w:val="24"/>
          <w:szCs w:val="24"/>
          <w:lang w:eastAsia="en-US"/>
        </w:rPr>
        <w:t>administrativa, como dá exemplo a Lei nº 12.846, de 1º de agosto de 2013, demonstra a necessidade</w:t>
      </w:r>
      <w:r w:rsidR="00C6594F">
        <w:rPr>
          <w:rFonts w:ascii="Arial" w:hAnsi="Arial" w:cs="Arial"/>
          <w:sz w:val="24"/>
          <w:szCs w:val="24"/>
          <w:lang w:eastAsia="en-US"/>
        </w:rPr>
        <w:t xml:space="preserve"> </w:t>
      </w:r>
      <w:r w:rsidR="003442AE" w:rsidRPr="00C6594F">
        <w:rPr>
          <w:rFonts w:ascii="Arial" w:hAnsi="Arial" w:cs="Arial"/>
          <w:sz w:val="24"/>
          <w:szCs w:val="24"/>
          <w:lang w:eastAsia="en-US"/>
        </w:rPr>
        <w:t>de trazer, também para o ambiente eleitoral, inovações. É um ambiente no qual, diante da relação de</w:t>
      </w:r>
      <w:r w:rsidR="00C6594F">
        <w:rPr>
          <w:rFonts w:ascii="Arial" w:hAnsi="Arial" w:cs="Arial"/>
          <w:sz w:val="24"/>
          <w:szCs w:val="24"/>
          <w:lang w:eastAsia="en-US"/>
        </w:rPr>
        <w:t xml:space="preserve"> </w:t>
      </w:r>
      <w:r>
        <w:rPr>
          <w:rFonts w:ascii="Arial" w:hAnsi="Arial" w:cs="Arial"/>
          <w:sz w:val="24"/>
          <w:szCs w:val="24"/>
          <w:lang w:eastAsia="en-US"/>
        </w:rPr>
        <w:t xml:space="preserve">proximidade – em si </w:t>
      </w:r>
      <w:r>
        <w:rPr>
          <w:rFonts w:ascii="Arial" w:hAnsi="Arial" w:cs="Arial"/>
          <w:sz w:val="24"/>
          <w:szCs w:val="24"/>
          <w:lang w:eastAsia="en-US"/>
        </w:rPr>
        <w:lastRenderedPageBreak/>
        <w:t xml:space="preserve">mesma, </w:t>
      </w:r>
      <w:r w:rsidR="003442AE" w:rsidRPr="00C6594F">
        <w:rPr>
          <w:rFonts w:ascii="Arial" w:hAnsi="Arial" w:cs="Arial"/>
          <w:sz w:val="24"/>
          <w:szCs w:val="24"/>
          <w:lang w:eastAsia="en-US"/>
        </w:rPr>
        <w:t>neutra – entre partidos políticos e a administração pública e dos altos</w:t>
      </w:r>
      <w:r w:rsidR="00C6594F">
        <w:rPr>
          <w:rFonts w:ascii="Arial" w:hAnsi="Arial" w:cs="Arial"/>
          <w:sz w:val="24"/>
          <w:szCs w:val="24"/>
          <w:lang w:eastAsia="en-US"/>
        </w:rPr>
        <w:t xml:space="preserve"> </w:t>
      </w:r>
      <w:r w:rsidR="003442AE" w:rsidRPr="00C6594F">
        <w:rPr>
          <w:rFonts w:ascii="Arial" w:hAnsi="Arial" w:cs="Arial"/>
          <w:sz w:val="24"/>
          <w:szCs w:val="24"/>
          <w:lang w:eastAsia="en-US"/>
        </w:rPr>
        <w:t>custos das campanhas eleitorais, situações de ilicitude podem ser propiciadas. O objetivo da</w:t>
      </w:r>
      <w:r w:rsidR="00C6594F">
        <w:rPr>
          <w:rFonts w:ascii="Arial" w:hAnsi="Arial" w:cs="Arial"/>
          <w:sz w:val="24"/>
          <w:szCs w:val="24"/>
          <w:lang w:eastAsia="en-US"/>
        </w:rPr>
        <w:t xml:space="preserve"> </w:t>
      </w:r>
      <w:r w:rsidR="003442AE" w:rsidRPr="00C6594F">
        <w:rPr>
          <w:rFonts w:ascii="Arial" w:hAnsi="Arial" w:cs="Arial"/>
          <w:sz w:val="24"/>
          <w:szCs w:val="24"/>
          <w:lang w:eastAsia="en-US"/>
        </w:rPr>
        <w:t>proposição é estender às agremiações partidárias exigências feitas hodiernamente para quaisquer</w:t>
      </w:r>
      <w:r w:rsidR="00C6594F">
        <w:rPr>
          <w:rFonts w:ascii="Arial" w:hAnsi="Arial" w:cs="Arial"/>
          <w:sz w:val="24"/>
          <w:szCs w:val="24"/>
          <w:lang w:eastAsia="en-US"/>
        </w:rPr>
        <w:t xml:space="preserve"> </w:t>
      </w:r>
      <w:r w:rsidR="003442AE" w:rsidRPr="00C6594F">
        <w:rPr>
          <w:rFonts w:ascii="Arial" w:hAnsi="Arial" w:cs="Arial"/>
          <w:sz w:val="24"/>
          <w:szCs w:val="24"/>
          <w:lang w:eastAsia="en-US"/>
        </w:rPr>
        <w:t>pessoas jurídicas. Secundariamente, pretende evitar que, por lacuna legal, ilícitos praticados noutras</w:t>
      </w:r>
      <w:r w:rsidR="00C6594F">
        <w:rPr>
          <w:rFonts w:ascii="Arial" w:hAnsi="Arial" w:cs="Arial"/>
          <w:sz w:val="24"/>
          <w:szCs w:val="24"/>
          <w:lang w:eastAsia="en-US"/>
        </w:rPr>
        <w:t xml:space="preserve"> </w:t>
      </w:r>
      <w:r w:rsidR="003442AE" w:rsidRPr="00C6594F">
        <w:rPr>
          <w:rFonts w:ascii="Arial" w:hAnsi="Arial" w:cs="Arial"/>
          <w:sz w:val="24"/>
          <w:szCs w:val="24"/>
          <w:lang w:eastAsia="en-US"/>
        </w:rPr>
        <w:t>áreas e com finalidades diversas sejam, como estratégia de exclusão ou minoração das sanções,</w:t>
      </w:r>
      <w:r w:rsidR="00C6594F">
        <w:rPr>
          <w:rFonts w:ascii="Arial" w:hAnsi="Arial" w:cs="Arial"/>
          <w:sz w:val="24"/>
          <w:szCs w:val="24"/>
          <w:lang w:eastAsia="en-US"/>
        </w:rPr>
        <w:t xml:space="preserve"> </w:t>
      </w:r>
      <w:r w:rsidR="003442AE" w:rsidRPr="00C6594F">
        <w:rPr>
          <w:rFonts w:ascii="Arial" w:hAnsi="Arial" w:cs="Arial"/>
          <w:sz w:val="24"/>
          <w:szCs w:val="24"/>
          <w:lang w:eastAsia="en-US"/>
        </w:rPr>
        <w:t>atribuídas às disputas eletivas. Assim, se a referida lei trouxe a responsabilidade objetiva das</w:t>
      </w:r>
      <w:r w:rsidR="00C6594F">
        <w:rPr>
          <w:rFonts w:ascii="Arial" w:hAnsi="Arial" w:cs="Arial"/>
          <w:sz w:val="24"/>
          <w:szCs w:val="24"/>
          <w:lang w:eastAsia="en-US"/>
        </w:rPr>
        <w:t xml:space="preserve"> </w:t>
      </w:r>
      <w:r w:rsidR="003442AE" w:rsidRPr="00C6594F">
        <w:rPr>
          <w:rFonts w:ascii="Arial" w:hAnsi="Arial" w:cs="Arial"/>
          <w:sz w:val="24"/>
          <w:szCs w:val="24"/>
          <w:lang w:eastAsia="en-US"/>
        </w:rPr>
        <w:t>pessoas jurídicas por atos contra a administração pública, é conveniente que também os partidos</w:t>
      </w:r>
      <w:r w:rsidR="00C6594F">
        <w:rPr>
          <w:rFonts w:ascii="Arial" w:hAnsi="Arial" w:cs="Arial"/>
          <w:sz w:val="24"/>
          <w:szCs w:val="24"/>
          <w:lang w:eastAsia="en-US"/>
        </w:rPr>
        <w:t xml:space="preserve"> </w:t>
      </w:r>
      <w:r w:rsidR="003442AE" w:rsidRPr="00C6594F">
        <w:rPr>
          <w:rFonts w:ascii="Arial" w:hAnsi="Arial" w:cs="Arial"/>
          <w:sz w:val="24"/>
          <w:szCs w:val="24"/>
          <w:lang w:eastAsia="en-US"/>
        </w:rPr>
        <w:t>políticos, que manejam recursos públicos e privados, se insiram no campo da responsabilização.</w:t>
      </w:r>
    </w:p>
    <w:p w:rsidR="003442AE" w:rsidRPr="00C6594F" w:rsidRDefault="003442AE" w:rsidP="00C6594F">
      <w:pPr>
        <w:autoSpaceDE w:val="0"/>
        <w:autoSpaceDN w:val="0"/>
        <w:adjustRightInd w:val="0"/>
        <w:spacing w:after="0" w:line="360" w:lineRule="auto"/>
        <w:ind w:firstLine="709"/>
        <w:jc w:val="both"/>
        <w:rPr>
          <w:rFonts w:ascii="Arial" w:hAnsi="Arial" w:cs="Arial"/>
          <w:sz w:val="24"/>
          <w:szCs w:val="24"/>
          <w:lang w:eastAsia="en-US"/>
        </w:rPr>
      </w:pPr>
      <w:r w:rsidRPr="00C6594F">
        <w:rPr>
          <w:rFonts w:ascii="Arial" w:hAnsi="Arial" w:cs="Arial"/>
          <w:sz w:val="24"/>
          <w:szCs w:val="24"/>
          <w:lang w:eastAsia="en-US"/>
        </w:rPr>
        <w:t xml:space="preserve">Dessa forma, os </w:t>
      </w:r>
      <w:proofErr w:type="spellStart"/>
      <w:r w:rsidRPr="00C6594F">
        <w:rPr>
          <w:rFonts w:ascii="Arial" w:hAnsi="Arial" w:cs="Arial"/>
          <w:sz w:val="24"/>
          <w:szCs w:val="24"/>
          <w:lang w:eastAsia="en-US"/>
        </w:rPr>
        <w:t>arts</w:t>
      </w:r>
      <w:proofErr w:type="spellEnd"/>
      <w:r w:rsidRPr="00C6594F">
        <w:rPr>
          <w:rFonts w:ascii="Arial" w:hAnsi="Arial" w:cs="Arial"/>
          <w:sz w:val="24"/>
          <w:szCs w:val="24"/>
          <w:lang w:eastAsia="en-US"/>
        </w:rPr>
        <w:t>. 49-A, 49-B e 49-C, propostos para a Lei Orgânica dos Partidos Políticos, Lei</w:t>
      </w:r>
      <w:r w:rsidR="00C6594F">
        <w:rPr>
          <w:rFonts w:ascii="Arial" w:hAnsi="Arial" w:cs="Arial"/>
          <w:sz w:val="24"/>
          <w:szCs w:val="24"/>
          <w:lang w:eastAsia="en-US"/>
        </w:rPr>
        <w:t xml:space="preserve"> </w:t>
      </w:r>
      <w:r w:rsidRPr="00C6594F">
        <w:rPr>
          <w:rFonts w:ascii="Arial" w:hAnsi="Arial" w:cs="Arial"/>
          <w:sz w:val="24"/>
          <w:szCs w:val="24"/>
          <w:lang w:eastAsia="en-US"/>
        </w:rPr>
        <w:t>nº 9.096/1995, trazem o cerne da Lei 12.846/2013. Normas relativas a procedimentos, bem como a</w:t>
      </w:r>
      <w:r w:rsidR="00C6594F">
        <w:rPr>
          <w:rFonts w:ascii="Arial" w:hAnsi="Arial" w:cs="Arial"/>
          <w:sz w:val="24"/>
          <w:szCs w:val="24"/>
          <w:lang w:eastAsia="en-US"/>
        </w:rPr>
        <w:t xml:space="preserve"> </w:t>
      </w:r>
      <w:r w:rsidRPr="00C6594F">
        <w:rPr>
          <w:rFonts w:ascii="Arial" w:hAnsi="Arial" w:cs="Arial"/>
          <w:sz w:val="24"/>
          <w:szCs w:val="24"/>
          <w:lang w:eastAsia="en-US"/>
        </w:rPr>
        <w:t>sanções, tiveram previsão autônoma, considerada a natureza peculiar dos partidos políticos. É por</w:t>
      </w:r>
      <w:r w:rsidR="00C6594F">
        <w:rPr>
          <w:rFonts w:ascii="Arial" w:hAnsi="Arial" w:cs="Arial"/>
          <w:sz w:val="24"/>
          <w:szCs w:val="24"/>
          <w:lang w:eastAsia="en-US"/>
        </w:rPr>
        <w:t xml:space="preserve"> </w:t>
      </w:r>
      <w:r w:rsidRPr="00C6594F">
        <w:rPr>
          <w:rFonts w:ascii="Arial" w:hAnsi="Arial" w:cs="Arial"/>
          <w:sz w:val="24"/>
          <w:szCs w:val="24"/>
          <w:lang w:eastAsia="en-US"/>
        </w:rPr>
        <w:t>esta razão que não se propõe a pura e simples aplicação daquela lei aos partidos e se afastam</w:t>
      </w:r>
      <w:r w:rsidR="00C6594F">
        <w:rPr>
          <w:rFonts w:ascii="Arial" w:hAnsi="Arial" w:cs="Arial"/>
          <w:sz w:val="24"/>
          <w:szCs w:val="24"/>
          <w:lang w:eastAsia="en-US"/>
        </w:rPr>
        <w:t xml:space="preserve"> </w:t>
      </w:r>
      <w:r w:rsidRPr="00C6594F">
        <w:rPr>
          <w:rFonts w:ascii="Arial" w:hAnsi="Arial" w:cs="Arial"/>
          <w:sz w:val="24"/>
          <w:szCs w:val="24"/>
          <w:lang w:eastAsia="en-US"/>
        </w:rPr>
        <w:t>medidas como os acordos de leniência ou regras sobre processo que não dizem respeito às</w:t>
      </w:r>
      <w:r w:rsidR="00C6594F">
        <w:rPr>
          <w:rFonts w:ascii="Arial" w:hAnsi="Arial" w:cs="Arial"/>
          <w:sz w:val="24"/>
          <w:szCs w:val="24"/>
          <w:lang w:eastAsia="en-US"/>
        </w:rPr>
        <w:t xml:space="preserve"> </w:t>
      </w:r>
      <w:r w:rsidRPr="00C6594F">
        <w:rPr>
          <w:rFonts w:ascii="Arial" w:hAnsi="Arial" w:cs="Arial"/>
          <w:sz w:val="24"/>
          <w:szCs w:val="24"/>
          <w:lang w:eastAsia="en-US"/>
        </w:rPr>
        <w:t>realidades da Justiça Eleitoral e do Ministério Público Eleitoral.</w:t>
      </w:r>
    </w:p>
    <w:p w:rsidR="003442AE" w:rsidRPr="005C5361" w:rsidRDefault="003442AE" w:rsidP="00C6594F">
      <w:pPr>
        <w:autoSpaceDE w:val="0"/>
        <w:autoSpaceDN w:val="0"/>
        <w:adjustRightInd w:val="0"/>
        <w:spacing w:after="0" w:line="360" w:lineRule="auto"/>
        <w:ind w:firstLine="709"/>
        <w:jc w:val="both"/>
        <w:rPr>
          <w:rFonts w:ascii="Arial" w:hAnsi="Arial" w:cs="Arial"/>
          <w:sz w:val="24"/>
          <w:szCs w:val="24"/>
          <w:lang w:eastAsia="en-US"/>
        </w:rPr>
      </w:pPr>
      <w:r w:rsidRPr="00C6594F">
        <w:rPr>
          <w:rFonts w:ascii="Arial" w:hAnsi="Arial" w:cs="Arial"/>
          <w:sz w:val="24"/>
          <w:szCs w:val="24"/>
          <w:lang w:eastAsia="en-US"/>
        </w:rPr>
        <w:t xml:space="preserve">O art. 49-A proposto prevê a responsabilidade dos partidos políticos </w:t>
      </w:r>
      <w:proofErr w:type="gramStart"/>
      <w:r w:rsidRPr="00C6594F">
        <w:rPr>
          <w:rFonts w:ascii="Arial" w:hAnsi="Arial" w:cs="Arial"/>
          <w:sz w:val="24"/>
          <w:szCs w:val="24"/>
          <w:lang w:eastAsia="en-US"/>
        </w:rPr>
        <w:t>pelo atos ilícitos</w:t>
      </w:r>
      <w:r w:rsidR="005C5361">
        <w:rPr>
          <w:rFonts w:ascii="Arial" w:hAnsi="Arial" w:cs="Arial"/>
          <w:sz w:val="24"/>
          <w:szCs w:val="24"/>
          <w:lang w:eastAsia="en-US"/>
        </w:rPr>
        <w:t xml:space="preserve"> </w:t>
      </w:r>
      <w:r w:rsidRPr="00C6594F">
        <w:rPr>
          <w:rFonts w:ascii="Arial" w:hAnsi="Arial" w:cs="Arial"/>
          <w:sz w:val="24"/>
          <w:szCs w:val="24"/>
          <w:lang w:eastAsia="en-US"/>
        </w:rPr>
        <w:t>descritos</w:t>
      </w:r>
      <w:proofErr w:type="gramEnd"/>
      <w:r w:rsidRPr="00C6594F">
        <w:rPr>
          <w:rFonts w:ascii="Arial" w:hAnsi="Arial" w:cs="Arial"/>
          <w:sz w:val="24"/>
          <w:szCs w:val="24"/>
          <w:lang w:eastAsia="en-US"/>
        </w:rPr>
        <w:t xml:space="preserve"> no art. 5º da Lei 12.846/2013 e, também, por condutas de “Caixa 2”, “lavagem de</w:t>
      </w:r>
      <w:r w:rsidR="005C5361">
        <w:rPr>
          <w:rFonts w:ascii="Arial" w:hAnsi="Arial" w:cs="Arial"/>
          <w:sz w:val="24"/>
          <w:szCs w:val="24"/>
          <w:lang w:eastAsia="en-US"/>
        </w:rPr>
        <w:t xml:space="preserve"> </w:t>
      </w:r>
      <w:r w:rsidRPr="00C6594F">
        <w:rPr>
          <w:rFonts w:ascii="Arial" w:hAnsi="Arial" w:cs="Arial"/>
          <w:sz w:val="24"/>
          <w:szCs w:val="24"/>
          <w:lang w:eastAsia="en-US"/>
        </w:rPr>
        <w:t>capitais” e utilização de doações de fontes vedadas. Ele traz um roteiro para a aplicação das</w:t>
      </w:r>
      <w:r w:rsidR="005C5361">
        <w:rPr>
          <w:rFonts w:ascii="Arial" w:hAnsi="Arial" w:cs="Arial"/>
          <w:sz w:val="24"/>
          <w:szCs w:val="24"/>
          <w:lang w:eastAsia="en-US"/>
        </w:rPr>
        <w:t xml:space="preserve"> </w:t>
      </w:r>
      <w:r w:rsidRPr="00C6594F">
        <w:rPr>
          <w:rFonts w:ascii="Arial" w:hAnsi="Arial" w:cs="Arial"/>
          <w:sz w:val="24"/>
          <w:szCs w:val="24"/>
          <w:lang w:eastAsia="en-US"/>
        </w:rPr>
        <w:t xml:space="preserve">sanções, limitadas, a princípio, à esfera </w:t>
      </w:r>
      <w:r w:rsidRPr="005C5361">
        <w:rPr>
          <w:rFonts w:ascii="Arial" w:hAnsi="Arial" w:cs="Arial"/>
          <w:sz w:val="24"/>
          <w:szCs w:val="24"/>
          <w:lang w:eastAsia="en-US"/>
        </w:rPr>
        <w:t>partidária responsável pela prática dos atos irregulares. O</w:t>
      </w:r>
      <w:r w:rsidR="005C5361" w:rsidRPr="005C5361">
        <w:rPr>
          <w:rFonts w:ascii="Arial" w:hAnsi="Arial" w:cs="Arial"/>
          <w:sz w:val="24"/>
          <w:szCs w:val="24"/>
          <w:lang w:eastAsia="en-US"/>
        </w:rPr>
        <w:t xml:space="preserve"> </w:t>
      </w:r>
      <w:r w:rsidRPr="005C5361">
        <w:rPr>
          <w:rFonts w:ascii="Arial" w:hAnsi="Arial" w:cs="Arial"/>
          <w:sz w:val="24"/>
          <w:szCs w:val="24"/>
          <w:lang w:eastAsia="en-US"/>
        </w:rPr>
        <w:t>art. 49-B descreve a extensão e o modo de cálculo das sanções propostas, e o art. 49-C, a</w:t>
      </w:r>
      <w:r w:rsidR="005C5361" w:rsidRPr="005C5361">
        <w:rPr>
          <w:rFonts w:ascii="Arial" w:hAnsi="Arial" w:cs="Arial"/>
          <w:sz w:val="24"/>
          <w:szCs w:val="24"/>
          <w:lang w:eastAsia="en-US"/>
        </w:rPr>
        <w:t xml:space="preserve"> </w:t>
      </w:r>
      <w:r w:rsidRPr="005C5361">
        <w:rPr>
          <w:rFonts w:ascii="Arial" w:hAnsi="Arial" w:cs="Arial"/>
          <w:sz w:val="24"/>
          <w:szCs w:val="24"/>
          <w:lang w:eastAsia="en-US"/>
        </w:rPr>
        <w:t>legitimação e o rito processual das ações a serem levadas à Justiça Eleitoral.</w:t>
      </w:r>
    </w:p>
    <w:p w:rsidR="005C5361" w:rsidRPr="005C5361" w:rsidRDefault="003442AE" w:rsidP="005C5361">
      <w:pPr>
        <w:autoSpaceDE w:val="0"/>
        <w:autoSpaceDN w:val="0"/>
        <w:adjustRightInd w:val="0"/>
        <w:spacing w:after="0" w:line="360" w:lineRule="auto"/>
        <w:ind w:firstLine="709"/>
        <w:jc w:val="both"/>
        <w:rPr>
          <w:rFonts w:ascii="Arial" w:hAnsi="Arial" w:cs="Arial"/>
          <w:sz w:val="24"/>
          <w:szCs w:val="24"/>
          <w:lang w:eastAsia="en-US"/>
        </w:rPr>
      </w:pPr>
      <w:r w:rsidRPr="005C5361">
        <w:rPr>
          <w:rFonts w:ascii="Arial" w:hAnsi="Arial" w:cs="Arial"/>
          <w:sz w:val="24"/>
          <w:szCs w:val="24"/>
          <w:lang w:eastAsia="en-US"/>
        </w:rPr>
        <w:t>Propõe-se, também, a alteração da Lei das Eleições, Lei nº 9.504/1997, para tipificar, como</w:t>
      </w:r>
      <w:r w:rsidR="005C5361">
        <w:rPr>
          <w:rFonts w:ascii="Arial" w:hAnsi="Arial" w:cs="Arial"/>
          <w:sz w:val="24"/>
          <w:szCs w:val="24"/>
          <w:lang w:eastAsia="en-US"/>
        </w:rPr>
        <w:t xml:space="preserve"> </w:t>
      </w:r>
      <w:r w:rsidRPr="005C5361">
        <w:rPr>
          <w:rFonts w:ascii="Arial" w:hAnsi="Arial" w:cs="Arial"/>
          <w:sz w:val="24"/>
          <w:szCs w:val="24"/>
          <w:lang w:eastAsia="en-US"/>
        </w:rPr>
        <w:t>crime, a conduta do “Caixa 2” – art. 32-A – e a variante eleitoral da Lavagem de Dinheiro, art. 32-B. São situações que apresentam “dignidade penal”, em razão de sua grande repercussão nas</w:t>
      </w:r>
      <w:r w:rsidR="005C5361">
        <w:rPr>
          <w:rFonts w:ascii="Arial" w:hAnsi="Arial" w:cs="Arial"/>
          <w:sz w:val="24"/>
          <w:szCs w:val="24"/>
          <w:lang w:eastAsia="en-US"/>
        </w:rPr>
        <w:t xml:space="preserve"> </w:t>
      </w:r>
      <w:r w:rsidRPr="005C5361">
        <w:rPr>
          <w:rFonts w:ascii="Arial" w:hAnsi="Arial" w:cs="Arial"/>
          <w:sz w:val="24"/>
          <w:szCs w:val="24"/>
          <w:lang w:eastAsia="en-US"/>
        </w:rPr>
        <w:t>disputas eleitorais, que podem ser por</w:t>
      </w:r>
      <w:r w:rsidR="005C5361" w:rsidRPr="005C5361">
        <w:rPr>
          <w:rFonts w:ascii="Arial" w:hAnsi="Arial" w:cs="Arial"/>
          <w:sz w:val="24"/>
          <w:szCs w:val="24"/>
          <w:lang w:eastAsia="en-US"/>
        </w:rPr>
        <w:t xml:space="preserve"> essa prática desequilibradas. Além disso, há insuficiência das</w:t>
      </w:r>
      <w:r w:rsidR="005C5361">
        <w:rPr>
          <w:rFonts w:ascii="Arial" w:hAnsi="Arial" w:cs="Arial"/>
          <w:sz w:val="24"/>
          <w:szCs w:val="24"/>
          <w:lang w:eastAsia="en-US"/>
        </w:rPr>
        <w:t xml:space="preserve"> </w:t>
      </w:r>
      <w:r w:rsidR="005C5361" w:rsidRPr="005C5361">
        <w:rPr>
          <w:rFonts w:ascii="Arial" w:hAnsi="Arial" w:cs="Arial"/>
          <w:sz w:val="24"/>
          <w:szCs w:val="24"/>
          <w:lang w:eastAsia="en-US"/>
        </w:rPr>
        <w:t>sanções extrapenais, como a rejeição das contas de candidatos ou partidos e mesmo a cassação do</w:t>
      </w:r>
      <w:r w:rsidR="005C5361">
        <w:rPr>
          <w:rFonts w:ascii="Arial" w:hAnsi="Arial" w:cs="Arial"/>
          <w:sz w:val="24"/>
          <w:szCs w:val="24"/>
          <w:lang w:eastAsia="en-US"/>
        </w:rPr>
        <w:t xml:space="preserve"> </w:t>
      </w:r>
      <w:r w:rsidR="005C5361" w:rsidRPr="005C5361">
        <w:rPr>
          <w:rFonts w:ascii="Arial" w:hAnsi="Arial" w:cs="Arial"/>
          <w:sz w:val="24"/>
          <w:szCs w:val="24"/>
          <w:lang w:eastAsia="en-US"/>
        </w:rPr>
        <w:t>diploma que, por definição, só alcança candidatos eleitos. A quantidade de pena prevista para a</w:t>
      </w:r>
      <w:r w:rsidR="005C5361">
        <w:rPr>
          <w:rFonts w:ascii="Arial" w:hAnsi="Arial" w:cs="Arial"/>
          <w:sz w:val="24"/>
          <w:szCs w:val="24"/>
          <w:lang w:eastAsia="en-US"/>
        </w:rPr>
        <w:t xml:space="preserve"> </w:t>
      </w:r>
      <w:r w:rsidR="005C5361" w:rsidRPr="005C5361">
        <w:rPr>
          <w:rFonts w:ascii="Arial" w:hAnsi="Arial" w:cs="Arial"/>
          <w:sz w:val="24"/>
          <w:szCs w:val="24"/>
          <w:lang w:eastAsia="en-US"/>
        </w:rPr>
        <w:t>conduta eleitoral de “lavagem” corresponde às penas da Lei nº 12.683, de 9 de julho de 2012,</w:t>
      </w:r>
      <w:r w:rsidR="005C5361">
        <w:rPr>
          <w:rFonts w:ascii="Arial" w:hAnsi="Arial" w:cs="Arial"/>
          <w:sz w:val="24"/>
          <w:szCs w:val="24"/>
          <w:lang w:eastAsia="en-US"/>
        </w:rPr>
        <w:t xml:space="preserve"> </w:t>
      </w:r>
      <w:r w:rsidR="005C5361" w:rsidRPr="005C5361">
        <w:rPr>
          <w:rFonts w:ascii="Arial" w:hAnsi="Arial" w:cs="Arial"/>
          <w:sz w:val="24"/>
          <w:szCs w:val="24"/>
          <w:lang w:eastAsia="en-US"/>
        </w:rPr>
        <w:lastRenderedPageBreak/>
        <w:t xml:space="preserve">especialmente para evitar que ilícitos de idêntica </w:t>
      </w:r>
      <w:r w:rsidR="005C5361">
        <w:rPr>
          <w:rFonts w:ascii="Arial" w:hAnsi="Arial" w:cs="Arial"/>
          <w:sz w:val="24"/>
          <w:szCs w:val="24"/>
          <w:lang w:eastAsia="en-US"/>
        </w:rPr>
        <w:t>gravidade recebam sanções</w:t>
      </w:r>
      <w:r w:rsidR="005C5361" w:rsidRPr="005C5361">
        <w:rPr>
          <w:rFonts w:ascii="Arial" w:hAnsi="Arial" w:cs="Arial"/>
          <w:sz w:val="24"/>
          <w:szCs w:val="24"/>
          <w:lang w:eastAsia="en-US"/>
        </w:rPr>
        <w:t xml:space="preserve"> distinta</w:t>
      </w:r>
      <w:r w:rsidR="005C5361">
        <w:rPr>
          <w:rFonts w:ascii="Arial" w:hAnsi="Arial" w:cs="Arial"/>
          <w:sz w:val="24"/>
          <w:szCs w:val="24"/>
          <w:lang w:eastAsia="en-US"/>
        </w:rPr>
        <w:t>s</w:t>
      </w:r>
      <w:r w:rsidR="005C5361" w:rsidRPr="005C5361">
        <w:rPr>
          <w:rFonts w:ascii="Arial" w:hAnsi="Arial" w:cs="Arial"/>
          <w:sz w:val="24"/>
          <w:szCs w:val="24"/>
          <w:lang w:eastAsia="en-US"/>
        </w:rPr>
        <w:t>.</w:t>
      </w:r>
    </w:p>
    <w:p w:rsidR="000571B4" w:rsidRPr="005C5361" w:rsidRDefault="000571B4" w:rsidP="00C6594F">
      <w:pPr>
        <w:autoSpaceDE w:val="0"/>
        <w:autoSpaceDN w:val="0"/>
        <w:adjustRightInd w:val="0"/>
        <w:spacing w:after="0" w:line="360" w:lineRule="auto"/>
        <w:ind w:firstLine="709"/>
        <w:jc w:val="both"/>
        <w:rPr>
          <w:rFonts w:ascii="Arial" w:hAnsi="Arial" w:cs="Arial"/>
          <w:sz w:val="24"/>
          <w:szCs w:val="24"/>
        </w:rPr>
      </w:pPr>
      <w:r w:rsidRPr="005C5361">
        <w:rPr>
          <w:rFonts w:ascii="Arial" w:hAnsi="Arial" w:cs="Arial"/>
          <w:sz w:val="24"/>
          <w:szCs w:val="24"/>
        </w:rPr>
        <w:t xml:space="preserve">Ante o exposto, é de suma importância a aprovação deste projeto, razão pela qual contamos com o apoio dos nobres pares. </w:t>
      </w:r>
    </w:p>
    <w:p w:rsidR="000571B4" w:rsidRPr="005C5361" w:rsidRDefault="000571B4" w:rsidP="00C6594F">
      <w:pPr>
        <w:widowControl w:val="0"/>
        <w:autoSpaceDE w:val="0"/>
        <w:autoSpaceDN w:val="0"/>
        <w:adjustRightInd w:val="0"/>
        <w:spacing w:line="360" w:lineRule="auto"/>
        <w:ind w:firstLine="709"/>
        <w:jc w:val="both"/>
        <w:rPr>
          <w:rFonts w:ascii="Arial" w:hAnsi="Arial" w:cs="Arial"/>
          <w:sz w:val="24"/>
          <w:szCs w:val="24"/>
        </w:rPr>
      </w:pPr>
    </w:p>
    <w:p w:rsidR="000571B4" w:rsidRPr="005C5361" w:rsidRDefault="000571B4" w:rsidP="00D67EB1">
      <w:pPr>
        <w:widowControl w:val="0"/>
        <w:autoSpaceDE w:val="0"/>
        <w:autoSpaceDN w:val="0"/>
        <w:adjustRightInd w:val="0"/>
        <w:spacing w:line="360" w:lineRule="auto"/>
        <w:ind w:firstLine="709"/>
        <w:jc w:val="both"/>
        <w:rPr>
          <w:rFonts w:ascii="Arial" w:hAnsi="Arial" w:cs="Arial"/>
          <w:sz w:val="24"/>
          <w:szCs w:val="24"/>
        </w:rPr>
      </w:pPr>
      <w:r w:rsidRPr="005C5361">
        <w:rPr>
          <w:rFonts w:ascii="Arial" w:hAnsi="Arial" w:cs="Arial"/>
          <w:sz w:val="24"/>
          <w:szCs w:val="24"/>
        </w:rPr>
        <w:t xml:space="preserve">Sala das </w:t>
      </w:r>
      <w:proofErr w:type="gramStart"/>
      <w:r w:rsidRPr="005C5361">
        <w:rPr>
          <w:rFonts w:ascii="Arial" w:hAnsi="Arial" w:cs="Arial"/>
          <w:sz w:val="24"/>
          <w:szCs w:val="24"/>
        </w:rPr>
        <w:t xml:space="preserve">Sessões,   </w:t>
      </w:r>
      <w:proofErr w:type="gramEnd"/>
      <w:r w:rsidRPr="005C5361">
        <w:rPr>
          <w:rFonts w:ascii="Arial" w:hAnsi="Arial" w:cs="Arial"/>
          <w:sz w:val="24"/>
          <w:szCs w:val="24"/>
        </w:rPr>
        <w:t xml:space="preserve">            de                    </w:t>
      </w:r>
      <w:proofErr w:type="spellStart"/>
      <w:r w:rsidRPr="005C5361">
        <w:rPr>
          <w:rFonts w:ascii="Arial" w:hAnsi="Arial" w:cs="Arial"/>
          <w:sz w:val="24"/>
          <w:szCs w:val="24"/>
        </w:rPr>
        <w:t>de</w:t>
      </w:r>
      <w:proofErr w:type="spellEnd"/>
      <w:r w:rsidRPr="005C5361">
        <w:rPr>
          <w:rFonts w:ascii="Arial" w:hAnsi="Arial" w:cs="Arial"/>
          <w:sz w:val="24"/>
          <w:szCs w:val="24"/>
        </w:rPr>
        <w:t xml:space="preserve"> 2015.</w:t>
      </w:r>
    </w:p>
    <w:p w:rsidR="000571B4" w:rsidRPr="00D67EB1" w:rsidRDefault="000571B4" w:rsidP="00D67EB1">
      <w:pPr>
        <w:spacing w:after="0" w:line="360" w:lineRule="auto"/>
        <w:ind w:firstLine="709"/>
        <w:jc w:val="center"/>
        <w:rPr>
          <w:rFonts w:ascii="Arial" w:hAnsi="Arial" w:cs="Arial"/>
          <w:sz w:val="24"/>
          <w:szCs w:val="24"/>
        </w:rPr>
      </w:pP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t xml:space="preserve">Dep. </w:t>
      </w:r>
      <w:proofErr w:type="spellStart"/>
      <w:r w:rsidRPr="00D67EB1">
        <w:rPr>
          <w:rFonts w:ascii="Arial" w:hAnsi="Arial" w:cs="Arial"/>
          <w:b/>
          <w:sz w:val="24"/>
          <w:szCs w:val="24"/>
        </w:rPr>
        <w:t>Indio</w:t>
      </w:r>
      <w:proofErr w:type="spellEnd"/>
      <w:r w:rsidRPr="00D67EB1">
        <w:rPr>
          <w:rFonts w:ascii="Arial" w:hAnsi="Arial" w:cs="Arial"/>
          <w:b/>
          <w:sz w:val="24"/>
          <w:szCs w:val="24"/>
        </w:rPr>
        <w:t xml:space="preserve"> da Costa</w:t>
      </w:r>
    </w:p>
    <w:p w:rsidR="000571B4" w:rsidRPr="00D67EB1" w:rsidRDefault="000571B4" w:rsidP="00D67EB1">
      <w:pPr>
        <w:spacing w:after="0" w:line="360" w:lineRule="auto"/>
        <w:ind w:firstLine="709"/>
        <w:jc w:val="center"/>
        <w:rPr>
          <w:rFonts w:ascii="Arial" w:hAnsi="Arial" w:cs="Arial"/>
          <w:b/>
          <w:sz w:val="24"/>
          <w:szCs w:val="24"/>
        </w:rPr>
      </w:pPr>
      <w:r w:rsidRPr="00D67EB1">
        <w:rPr>
          <w:rFonts w:ascii="Arial" w:hAnsi="Arial" w:cs="Arial"/>
          <w:b/>
          <w:sz w:val="24"/>
          <w:szCs w:val="24"/>
        </w:rPr>
        <w:t>PSD/RJ</w:t>
      </w:r>
    </w:p>
    <w:p w:rsidR="00403113" w:rsidRPr="00D67EB1" w:rsidRDefault="00403113" w:rsidP="00D67EB1">
      <w:pPr>
        <w:widowControl w:val="0"/>
        <w:autoSpaceDE w:val="0"/>
        <w:autoSpaceDN w:val="0"/>
        <w:adjustRightInd w:val="0"/>
        <w:spacing w:after="0" w:line="360" w:lineRule="auto"/>
        <w:ind w:firstLine="709"/>
        <w:jc w:val="both"/>
        <w:rPr>
          <w:rFonts w:ascii="Arial" w:hAnsi="Arial" w:cs="Arial"/>
          <w:sz w:val="24"/>
          <w:szCs w:val="24"/>
        </w:rPr>
      </w:pPr>
    </w:p>
    <w:sectPr w:rsidR="00403113" w:rsidRPr="00D67EB1" w:rsidSect="005567C5">
      <w:headerReference w:type="default" r:id="rId7"/>
      <w:pgSz w:w="11906" w:h="16838"/>
      <w:pgMar w:top="700" w:right="1701" w:bottom="700"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6AF4" w:rsidRDefault="00CB6AF4" w:rsidP="009A4896">
      <w:pPr>
        <w:spacing w:after="0" w:line="240" w:lineRule="auto"/>
      </w:pPr>
      <w:r>
        <w:separator/>
      </w:r>
    </w:p>
  </w:endnote>
  <w:endnote w:type="continuationSeparator" w:id="0">
    <w:p w:rsidR="00CB6AF4" w:rsidRDefault="00CB6AF4" w:rsidP="009A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6AF4" w:rsidRDefault="00CB6AF4" w:rsidP="009A4896">
      <w:pPr>
        <w:spacing w:after="0" w:line="240" w:lineRule="auto"/>
      </w:pPr>
      <w:r>
        <w:separator/>
      </w:r>
    </w:p>
  </w:footnote>
  <w:footnote w:type="continuationSeparator" w:id="0">
    <w:p w:rsidR="00CB6AF4" w:rsidRDefault="00CB6AF4" w:rsidP="009A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E1B" w:rsidRDefault="00CB6AF4">
    <w:pPr>
      <w:pStyle w:val="Cabealh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3.7pt;margin-top:15.75pt;width:50.4pt;height:50.4pt;z-index:251658240;visibility:visible;mso-wrap-edited:f;mso-position-vertical-relative:page" o:allowincell="f">
          <v:imagedata r:id="rId1" o:title=""/>
          <w10:wrap anchory="page"/>
        </v:shape>
        <o:OLEObject Type="Embed" ProgID="Word.Picture.8" ShapeID="_x0000_s2049" DrawAspect="Content" ObjectID="_1511796369" r:id="rId2"/>
      </w:object>
    </w:r>
    <w:r w:rsidR="009A4896">
      <w:t xml:space="preserve">          </w:t>
    </w:r>
  </w:p>
  <w:p w:rsidR="009A4896" w:rsidRPr="009A4896" w:rsidRDefault="009A4896">
    <w:pPr>
      <w:pStyle w:val="Cabealho"/>
      <w:rPr>
        <w:b/>
        <w:sz w:val="28"/>
        <w:szCs w:val="28"/>
      </w:rPr>
    </w:pPr>
    <w:r w:rsidRPr="009A4896">
      <w:rPr>
        <w:b/>
        <w:sz w:val="28"/>
        <w:szCs w:val="28"/>
      </w:rPr>
      <w:t>CÂMARA DOS DEPUTADOS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896"/>
    <w:rsid w:val="0001645F"/>
    <w:rsid w:val="000571B4"/>
    <w:rsid w:val="0007035E"/>
    <w:rsid w:val="000801AA"/>
    <w:rsid w:val="0008130B"/>
    <w:rsid w:val="000E0123"/>
    <w:rsid w:val="000E788C"/>
    <w:rsid w:val="000F433C"/>
    <w:rsid w:val="00114F09"/>
    <w:rsid w:val="00115CBD"/>
    <w:rsid w:val="00143C31"/>
    <w:rsid w:val="00143F09"/>
    <w:rsid w:val="0019235E"/>
    <w:rsid w:val="001956AA"/>
    <w:rsid w:val="00202632"/>
    <w:rsid w:val="002202DF"/>
    <w:rsid w:val="002516FC"/>
    <w:rsid w:val="00253164"/>
    <w:rsid w:val="00267E3E"/>
    <w:rsid w:val="00281EFD"/>
    <w:rsid w:val="0029143A"/>
    <w:rsid w:val="002A4DDB"/>
    <w:rsid w:val="002B7BB3"/>
    <w:rsid w:val="00301DEE"/>
    <w:rsid w:val="003124A0"/>
    <w:rsid w:val="003316D0"/>
    <w:rsid w:val="003442AE"/>
    <w:rsid w:val="00351D86"/>
    <w:rsid w:val="00361C8F"/>
    <w:rsid w:val="003C3E8E"/>
    <w:rsid w:val="003E0F92"/>
    <w:rsid w:val="00402489"/>
    <w:rsid w:val="00403113"/>
    <w:rsid w:val="00416D3A"/>
    <w:rsid w:val="00460648"/>
    <w:rsid w:val="00461094"/>
    <w:rsid w:val="004753B6"/>
    <w:rsid w:val="00496F9A"/>
    <w:rsid w:val="004A3DDE"/>
    <w:rsid w:val="004E553B"/>
    <w:rsid w:val="004F0AB8"/>
    <w:rsid w:val="004F694B"/>
    <w:rsid w:val="00515AA9"/>
    <w:rsid w:val="0052174D"/>
    <w:rsid w:val="00540F87"/>
    <w:rsid w:val="005567C5"/>
    <w:rsid w:val="00575ABA"/>
    <w:rsid w:val="005C5361"/>
    <w:rsid w:val="006250B9"/>
    <w:rsid w:val="0062545A"/>
    <w:rsid w:val="00661915"/>
    <w:rsid w:val="00661DE2"/>
    <w:rsid w:val="006813E7"/>
    <w:rsid w:val="00687650"/>
    <w:rsid w:val="00693941"/>
    <w:rsid w:val="006B30DA"/>
    <w:rsid w:val="006B3672"/>
    <w:rsid w:val="006B3CC0"/>
    <w:rsid w:val="006D6AE8"/>
    <w:rsid w:val="006E2600"/>
    <w:rsid w:val="006F3E1B"/>
    <w:rsid w:val="00703E30"/>
    <w:rsid w:val="0073118E"/>
    <w:rsid w:val="0075315C"/>
    <w:rsid w:val="007A3EEF"/>
    <w:rsid w:val="007D178B"/>
    <w:rsid w:val="007D652D"/>
    <w:rsid w:val="008263C7"/>
    <w:rsid w:val="008607E7"/>
    <w:rsid w:val="00861F5A"/>
    <w:rsid w:val="0088036D"/>
    <w:rsid w:val="00890601"/>
    <w:rsid w:val="008A04F3"/>
    <w:rsid w:val="008A55DD"/>
    <w:rsid w:val="008C5151"/>
    <w:rsid w:val="008C6A35"/>
    <w:rsid w:val="008D605F"/>
    <w:rsid w:val="00900DA7"/>
    <w:rsid w:val="00904F37"/>
    <w:rsid w:val="00907929"/>
    <w:rsid w:val="0091526B"/>
    <w:rsid w:val="00931538"/>
    <w:rsid w:val="009349DA"/>
    <w:rsid w:val="00935317"/>
    <w:rsid w:val="009365EC"/>
    <w:rsid w:val="0095524D"/>
    <w:rsid w:val="00966641"/>
    <w:rsid w:val="00982FE8"/>
    <w:rsid w:val="009A4896"/>
    <w:rsid w:val="009B75EA"/>
    <w:rsid w:val="00A00107"/>
    <w:rsid w:val="00A05A8E"/>
    <w:rsid w:val="00A068A6"/>
    <w:rsid w:val="00A1289C"/>
    <w:rsid w:val="00A20C24"/>
    <w:rsid w:val="00A428C8"/>
    <w:rsid w:val="00A76818"/>
    <w:rsid w:val="00A80249"/>
    <w:rsid w:val="00A81B02"/>
    <w:rsid w:val="00A85EBC"/>
    <w:rsid w:val="00AA4A28"/>
    <w:rsid w:val="00AD48B9"/>
    <w:rsid w:val="00AE36F2"/>
    <w:rsid w:val="00AF59FD"/>
    <w:rsid w:val="00B02B8F"/>
    <w:rsid w:val="00B11D18"/>
    <w:rsid w:val="00B205A8"/>
    <w:rsid w:val="00B546A1"/>
    <w:rsid w:val="00B65334"/>
    <w:rsid w:val="00B9056A"/>
    <w:rsid w:val="00BC77D4"/>
    <w:rsid w:val="00BD2C24"/>
    <w:rsid w:val="00BE57DF"/>
    <w:rsid w:val="00BF5981"/>
    <w:rsid w:val="00C22DEA"/>
    <w:rsid w:val="00C56AE9"/>
    <w:rsid w:val="00C6594F"/>
    <w:rsid w:val="00C668E4"/>
    <w:rsid w:val="00C9504D"/>
    <w:rsid w:val="00CB6AF4"/>
    <w:rsid w:val="00CC20BA"/>
    <w:rsid w:val="00CC6097"/>
    <w:rsid w:val="00CD4319"/>
    <w:rsid w:val="00CD77C8"/>
    <w:rsid w:val="00D02154"/>
    <w:rsid w:val="00D0235D"/>
    <w:rsid w:val="00D250C4"/>
    <w:rsid w:val="00D264C4"/>
    <w:rsid w:val="00D43257"/>
    <w:rsid w:val="00D67EB1"/>
    <w:rsid w:val="00DA7113"/>
    <w:rsid w:val="00DA791E"/>
    <w:rsid w:val="00E2061A"/>
    <w:rsid w:val="00E31363"/>
    <w:rsid w:val="00E50002"/>
    <w:rsid w:val="00E56C73"/>
    <w:rsid w:val="00E77150"/>
    <w:rsid w:val="00E813D9"/>
    <w:rsid w:val="00E834A4"/>
    <w:rsid w:val="00EA29DF"/>
    <w:rsid w:val="00EC6A9B"/>
    <w:rsid w:val="00EC7137"/>
    <w:rsid w:val="00EE20E7"/>
    <w:rsid w:val="00F236B0"/>
    <w:rsid w:val="00F2739F"/>
    <w:rsid w:val="00F5685C"/>
    <w:rsid w:val="00F56DB9"/>
    <w:rsid w:val="00F748AB"/>
    <w:rsid w:val="00F87026"/>
    <w:rsid w:val="00FE30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CE9B717B-9072-4796-ADBD-61A823C3C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896"/>
    <w:rPr>
      <w:rFonts w:eastAsiaTheme="minorEastAs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4896"/>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9A4896"/>
    <w:rPr>
      <w:rFonts w:eastAsiaTheme="minorEastAsia" w:cs="Times New Roman"/>
      <w:lang w:val="x-none" w:eastAsia="pt-BR"/>
    </w:rPr>
  </w:style>
  <w:style w:type="paragraph" w:styleId="Rodap">
    <w:name w:val="footer"/>
    <w:basedOn w:val="Normal"/>
    <w:link w:val="RodapChar"/>
    <w:uiPriority w:val="99"/>
    <w:unhideWhenUsed/>
    <w:rsid w:val="009A4896"/>
    <w:pPr>
      <w:tabs>
        <w:tab w:val="center" w:pos="4252"/>
        <w:tab w:val="right" w:pos="8504"/>
      </w:tabs>
      <w:spacing w:after="0" w:line="240" w:lineRule="auto"/>
    </w:pPr>
  </w:style>
  <w:style w:type="character" w:customStyle="1" w:styleId="RodapChar">
    <w:name w:val="Rodapé Char"/>
    <w:basedOn w:val="Fontepargpadro"/>
    <w:link w:val="Rodap"/>
    <w:uiPriority w:val="99"/>
    <w:locked/>
    <w:rsid w:val="009A4896"/>
    <w:rPr>
      <w:rFonts w:eastAsiaTheme="minorEastAsia" w:cs="Times New Roman"/>
      <w:lang w:val="x-none" w:eastAsia="pt-BR"/>
    </w:rPr>
  </w:style>
  <w:style w:type="paragraph" w:customStyle="1" w:styleId="Default">
    <w:name w:val="Default"/>
    <w:uiPriority w:val="99"/>
    <w:rsid w:val="00A20C24"/>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661DE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Fontepargpadro"/>
    <w:uiPriority w:val="99"/>
    <w:semiHidden/>
    <w:unhideWhenUsed/>
    <w:rsid w:val="00661DE2"/>
    <w:rPr>
      <w:rFonts w:cs="Times New Roman"/>
      <w:color w:val="0000FF"/>
      <w:u w:val="single"/>
    </w:rPr>
  </w:style>
  <w:style w:type="character" w:customStyle="1" w:styleId="apple-converted-space">
    <w:name w:val="apple-converted-space"/>
    <w:basedOn w:val="Fontepargpadro"/>
    <w:rsid w:val="000801AA"/>
    <w:rPr>
      <w:rFonts w:cs="Times New Roman"/>
    </w:rPr>
  </w:style>
  <w:style w:type="paragraph" w:styleId="Textodebalo">
    <w:name w:val="Balloon Text"/>
    <w:basedOn w:val="Normal"/>
    <w:link w:val="TextodebaloChar"/>
    <w:uiPriority w:val="99"/>
    <w:semiHidden/>
    <w:unhideWhenUsed/>
    <w:rsid w:val="00AA4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AA4A28"/>
    <w:rPr>
      <w:rFonts w:ascii="Tahoma" w:eastAsiaTheme="minorEastAsia" w:hAnsi="Tahoma" w:cs="Tahoma"/>
      <w:sz w:val="16"/>
      <w:szCs w:val="16"/>
      <w:lang w:val="x-none" w:eastAsia="pt-BR"/>
    </w:rPr>
  </w:style>
  <w:style w:type="paragraph" w:styleId="Textodenotadefim">
    <w:name w:val="endnote text"/>
    <w:basedOn w:val="Normal"/>
    <w:link w:val="TextodenotadefimChar"/>
    <w:uiPriority w:val="99"/>
    <w:semiHidden/>
    <w:unhideWhenUsed/>
    <w:rsid w:val="00F56DB9"/>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locked/>
    <w:rsid w:val="00F56DB9"/>
    <w:rPr>
      <w:rFonts w:eastAsiaTheme="minorEastAsia" w:cs="Times New Roman"/>
      <w:sz w:val="20"/>
      <w:szCs w:val="20"/>
      <w:lang w:val="x-none" w:eastAsia="pt-BR"/>
    </w:rPr>
  </w:style>
  <w:style w:type="character" w:styleId="Refdenotadefim">
    <w:name w:val="endnote reference"/>
    <w:basedOn w:val="Fontepargpadro"/>
    <w:uiPriority w:val="99"/>
    <w:semiHidden/>
    <w:unhideWhenUsed/>
    <w:rsid w:val="00F56DB9"/>
    <w:rPr>
      <w:rFonts w:cs="Times New Roman"/>
      <w:vertAlign w:val="superscript"/>
    </w:rPr>
  </w:style>
  <w:style w:type="paragraph" w:styleId="Textodenotaderodap">
    <w:name w:val="footnote text"/>
    <w:basedOn w:val="Normal"/>
    <w:link w:val="TextodenotaderodapChar"/>
    <w:uiPriority w:val="99"/>
    <w:semiHidden/>
    <w:unhideWhenUsed/>
    <w:rsid w:val="00F56DB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F56DB9"/>
    <w:rPr>
      <w:rFonts w:eastAsiaTheme="minorEastAsia" w:cs="Times New Roman"/>
      <w:sz w:val="20"/>
      <w:szCs w:val="20"/>
      <w:lang w:val="x-none" w:eastAsia="pt-BR"/>
    </w:rPr>
  </w:style>
  <w:style w:type="character" w:styleId="Refdenotaderodap">
    <w:name w:val="footnote reference"/>
    <w:basedOn w:val="Fontepargpadro"/>
    <w:uiPriority w:val="99"/>
    <w:semiHidden/>
    <w:unhideWhenUsed/>
    <w:rsid w:val="00F56DB9"/>
    <w:rPr>
      <w:rFonts w:cs="Times New Roman"/>
      <w:vertAlign w:val="superscript"/>
    </w:rPr>
  </w:style>
  <w:style w:type="paragraph" w:styleId="Corpodetexto">
    <w:name w:val="Body Text"/>
    <w:basedOn w:val="Normal"/>
    <w:link w:val="CorpodetextoChar"/>
    <w:uiPriority w:val="99"/>
    <w:rsid w:val="00143F09"/>
    <w:pPr>
      <w:suppressAutoHyphens/>
      <w:spacing w:after="240" w:line="240" w:lineRule="atLeast"/>
      <w:ind w:firstLine="360"/>
      <w:jc w:val="both"/>
    </w:pPr>
    <w:rPr>
      <w:rFonts w:ascii="Garamond" w:eastAsia="Times New Roman" w:hAnsi="Garamond"/>
      <w:szCs w:val="20"/>
      <w:lang w:val="en-US" w:eastAsia="ar-SA"/>
    </w:rPr>
  </w:style>
  <w:style w:type="character" w:customStyle="1" w:styleId="CorpodetextoChar">
    <w:name w:val="Corpo de texto Char"/>
    <w:basedOn w:val="Fontepargpadro"/>
    <w:link w:val="Corpodetexto"/>
    <w:uiPriority w:val="99"/>
    <w:locked/>
    <w:rsid w:val="00143F09"/>
    <w:rPr>
      <w:rFonts w:ascii="Garamond" w:hAnsi="Garamond"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500013">
      <w:bodyDiv w:val="1"/>
      <w:marLeft w:val="0"/>
      <w:marRight w:val="0"/>
      <w:marTop w:val="0"/>
      <w:marBottom w:val="0"/>
      <w:divBdr>
        <w:top w:val="none" w:sz="0" w:space="0" w:color="auto"/>
        <w:left w:val="none" w:sz="0" w:space="0" w:color="auto"/>
        <w:bottom w:val="none" w:sz="0" w:space="0" w:color="auto"/>
        <w:right w:val="none" w:sz="0" w:space="0" w:color="auto"/>
      </w:divBdr>
    </w:div>
    <w:div w:id="1293755342">
      <w:marLeft w:val="0"/>
      <w:marRight w:val="0"/>
      <w:marTop w:val="0"/>
      <w:marBottom w:val="0"/>
      <w:divBdr>
        <w:top w:val="none" w:sz="0" w:space="0" w:color="auto"/>
        <w:left w:val="none" w:sz="0" w:space="0" w:color="auto"/>
        <w:bottom w:val="none" w:sz="0" w:space="0" w:color="auto"/>
        <w:right w:val="none" w:sz="0" w:space="0" w:color="auto"/>
      </w:divBdr>
    </w:div>
    <w:div w:id="1293755343">
      <w:marLeft w:val="0"/>
      <w:marRight w:val="0"/>
      <w:marTop w:val="0"/>
      <w:marBottom w:val="0"/>
      <w:divBdr>
        <w:top w:val="none" w:sz="0" w:space="0" w:color="auto"/>
        <w:left w:val="none" w:sz="0" w:space="0" w:color="auto"/>
        <w:bottom w:val="none" w:sz="0" w:space="0" w:color="auto"/>
        <w:right w:val="none" w:sz="0" w:space="0" w:color="auto"/>
      </w:divBdr>
    </w:div>
    <w:div w:id="129375534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3A1E8-4AE7-41D8-ADD1-36ECC857F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1923</Words>
  <Characters>10385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12284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cp:lastPrinted>2015-03-12T13:04:00Z</cp:lastPrinted>
  <dcterms:created xsi:type="dcterms:W3CDTF">2015-12-04T18:30:00Z</dcterms:created>
  <dcterms:modified xsi:type="dcterms:W3CDTF">2015-12-16T20:40:00Z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657116</vt:i4>
  </property>
</Properties>
</file>