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Default="009A4896" w:rsidP="009A4896">
      <w:pPr>
        <w:widowControl w:val="0"/>
        <w:autoSpaceDE w:val="0"/>
        <w:autoSpaceDN w:val="0"/>
        <w:adjustRightInd w:val="0"/>
        <w:spacing w:after="0" w:line="240" w:lineRule="auto"/>
        <w:jc w:val="center"/>
        <w:rPr>
          <w:rFonts w:ascii="Times New Roman" w:hAnsi="Times New Roman"/>
          <w:b/>
          <w:bCs/>
          <w:sz w:val="26"/>
          <w:szCs w:val="26"/>
        </w:rPr>
      </w:pPr>
    </w:p>
    <w:p w:rsidR="009A4896" w:rsidRPr="006F3E1B" w:rsidRDefault="009A4896" w:rsidP="009A4896">
      <w:pPr>
        <w:widowControl w:val="0"/>
        <w:autoSpaceDE w:val="0"/>
        <w:autoSpaceDN w:val="0"/>
        <w:adjustRightInd w:val="0"/>
        <w:spacing w:after="0" w:line="240" w:lineRule="auto"/>
        <w:jc w:val="center"/>
        <w:rPr>
          <w:rFonts w:ascii="Arial" w:hAnsi="Arial" w:cs="Arial"/>
          <w:b/>
          <w:bCs/>
          <w:sz w:val="28"/>
          <w:szCs w:val="28"/>
        </w:rPr>
      </w:pPr>
      <w:r w:rsidRPr="006F3E1B">
        <w:rPr>
          <w:rFonts w:ascii="Arial" w:hAnsi="Arial" w:cs="Arial"/>
          <w:b/>
          <w:bCs/>
          <w:sz w:val="28"/>
          <w:szCs w:val="28"/>
        </w:rPr>
        <w:t xml:space="preserve">PROJETO </w:t>
      </w:r>
      <w:r w:rsidR="00B546A1" w:rsidRPr="006F3E1B">
        <w:rPr>
          <w:rFonts w:ascii="Arial" w:hAnsi="Arial" w:cs="Arial"/>
          <w:b/>
          <w:bCs/>
          <w:sz w:val="28"/>
          <w:szCs w:val="28"/>
        </w:rPr>
        <w:t xml:space="preserve">DE LEI Nº           </w:t>
      </w:r>
      <w:proofErr w:type="gramStart"/>
      <w:r w:rsidR="00B546A1" w:rsidRPr="006F3E1B">
        <w:rPr>
          <w:rFonts w:ascii="Arial" w:hAnsi="Arial" w:cs="Arial"/>
          <w:b/>
          <w:bCs/>
          <w:sz w:val="28"/>
          <w:szCs w:val="28"/>
        </w:rPr>
        <w:t xml:space="preserve">  ,</w:t>
      </w:r>
      <w:proofErr w:type="gramEnd"/>
      <w:r w:rsidR="00B546A1" w:rsidRPr="006F3E1B">
        <w:rPr>
          <w:rFonts w:ascii="Arial" w:hAnsi="Arial" w:cs="Arial"/>
          <w:b/>
          <w:bCs/>
          <w:sz w:val="28"/>
          <w:szCs w:val="28"/>
        </w:rPr>
        <w:t xml:space="preserve"> DE 2015</w:t>
      </w:r>
    </w:p>
    <w:p w:rsidR="009A4896" w:rsidRPr="006F3E1B" w:rsidRDefault="009A4896" w:rsidP="009A4896">
      <w:pPr>
        <w:widowControl w:val="0"/>
        <w:autoSpaceDE w:val="0"/>
        <w:autoSpaceDN w:val="0"/>
        <w:adjustRightInd w:val="0"/>
        <w:jc w:val="center"/>
        <w:rPr>
          <w:rFonts w:ascii="Arial" w:hAnsi="Arial" w:cs="Arial"/>
          <w:sz w:val="28"/>
          <w:szCs w:val="28"/>
        </w:rPr>
      </w:pPr>
      <w:r w:rsidRPr="006F3E1B">
        <w:rPr>
          <w:rFonts w:ascii="Arial" w:hAnsi="Arial" w:cs="Arial"/>
          <w:b/>
          <w:bCs/>
          <w:sz w:val="28"/>
          <w:szCs w:val="28"/>
        </w:rPr>
        <w:t xml:space="preserve">(Do Sr. </w:t>
      </w:r>
      <w:proofErr w:type="spellStart"/>
      <w:r w:rsidR="0052174D" w:rsidRPr="006F3E1B">
        <w:rPr>
          <w:rFonts w:ascii="Arial" w:hAnsi="Arial" w:cs="Arial"/>
          <w:b/>
          <w:bCs/>
          <w:sz w:val="28"/>
          <w:szCs w:val="28"/>
        </w:rPr>
        <w:t>Indio</w:t>
      </w:r>
      <w:proofErr w:type="spellEnd"/>
      <w:r w:rsidR="0052174D" w:rsidRPr="006F3E1B">
        <w:rPr>
          <w:rFonts w:ascii="Arial" w:hAnsi="Arial" w:cs="Arial"/>
          <w:b/>
          <w:bCs/>
          <w:sz w:val="28"/>
          <w:szCs w:val="28"/>
        </w:rPr>
        <w:t xml:space="preserve"> da Costa</w:t>
      </w:r>
      <w:r w:rsidRPr="006F3E1B">
        <w:rPr>
          <w:rFonts w:ascii="Arial" w:hAnsi="Arial" w:cs="Arial"/>
          <w:b/>
          <w:bCs/>
          <w:sz w:val="28"/>
          <w:szCs w:val="28"/>
        </w:rPr>
        <w:t>)</w:t>
      </w:r>
    </w:p>
    <w:p w:rsidR="009A4896" w:rsidRPr="008C5151" w:rsidRDefault="009A4896" w:rsidP="009A4896">
      <w:pPr>
        <w:widowControl w:val="0"/>
        <w:tabs>
          <w:tab w:val="left" w:pos="5895"/>
        </w:tabs>
        <w:autoSpaceDE w:val="0"/>
        <w:autoSpaceDN w:val="0"/>
        <w:adjustRightInd w:val="0"/>
        <w:rPr>
          <w:rFonts w:ascii="Arial" w:hAnsi="Arial" w:cs="Arial"/>
          <w:sz w:val="24"/>
          <w:szCs w:val="24"/>
        </w:rPr>
      </w:pPr>
      <w:r w:rsidRPr="008C5151">
        <w:rPr>
          <w:rFonts w:ascii="Arial" w:hAnsi="Arial" w:cs="Arial"/>
          <w:sz w:val="24"/>
          <w:szCs w:val="24"/>
        </w:rPr>
        <w:tab/>
      </w:r>
    </w:p>
    <w:p w:rsidR="00A068A6" w:rsidRDefault="00A068A6" w:rsidP="00115CBD">
      <w:pPr>
        <w:autoSpaceDE w:val="0"/>
        <w:autoSpaceDN w:val="0"/>
        <w:adjustRightInd w:val="0"/>
        <w:spacing w:after="0" w:line="240" w:lineRule="auto"/>
        <w:ind w:left="3969"/>
        <w:jc w:val="both"/>
        <w:rPr>
          <w:rFonts w:ascii="Times New Roman" w:hAnsi="Times New Roman"/>
          <w:sz w:val="24"/>
          <w:szCs w:val="24"/>
          <w:lang w:eastAsia="en-US"/>
        </w:rPr>
      </w:pPr>
    </w:p>
    <w:p w:rsidR="00A068A6" w:rsidRPr="00617FC5" w:rsidRDefault="00617FC5" w:rsidP="00617FC5">
      <w:pPr>
        <w:autoSpaceDE w:val="0"/>
        <w:autoSpaceDN w:val="0"/>
        <w:adjustRightInd w:val="0"/>
        <w:spacing w:after="0" w:line="240" w:lineRule="auto"/>
        <w:ind w:left="3828"/>
        <w:jc w:val="both"/>
        <w:rPr>
          <w:rFonts w:ascii="Arial" w:hAnsi="Arial" w:cs="Arial"/>
          <w:sz w:val="24"/>
          <w:szCs w:val="24"/>
          <w:lang w:eastAsia="en-US"/>
        </w:rPr>
      </w:pPr>
      <w:r w:rsidRPr="00617FC5">
        <w:rPr>
          <w:rFonts w:ascii="Arial" w:hAnsi="Arial" w:cs="Arial"/>
          <w:sz w:val="24"/>
          <w:szCs w:val="24"/>
          <w:lang w:eastAsia="en-US"/>
        </w:rPr>
        <w:t>Disciplina a ação para extinção de domínio sobre bens de</w:t>
      </w:r>
      <w:r>
        <w:rPr>
          <w:rFonts w:ascii="Arial" w:hAnsi="Arial" w:cs="Arial"/>
          <w:sz w:val="24"/>
          <w:szCs w:val="24"/>
          <w:lang w:eastAsia="en-US"/>
        </w:rPr>
        <w:t xml:space="preserve"> </w:t>
      </w:r>
      <w:r w:rsidRPr="00617FC5">
        <w:rPr>
          <w:rFonts w:ascii="Arial" w:hAnsi="Arial" w:cs="Arial"/>
          <w:sz w:val="24"/>
          <w:szCs w:val="24"/>
          <w:lang w:eastAsia="en-US"/>
        </w:rPr>
        <w:t>qualquer natureza, ou valores, que sejam produto ou</w:t>
      </w:r>
      <w:r>
        <w:rPr>
          <w:rFonts w:ascii="Arial" w:hAnsi="Arial" w:cs="Arial"/>
          <w:sz w:val="24"/>
          <w:szCs w:val="24"/>
          <w:lang w:eastAsia="en-US"/>
        </w:rPr>
        <w:t xml:space="preserve"> </w:t>
      </w:r>
      <w:r w:rsidRPr="00617FC5">
        <w:rPr>
          <w:rFonts w:ascii="Arial" w:hAnsi="Arial" w:cs="Arial"/>
          <w:sz w:val="24"/>
          <w:szCs w:val="24"/>
          <w:lang w:eastAsia="en-US"/>
        </w:rPr>
        <w:t>proveito, direto ou indireto, de atividade i</w:t>
      </w:r>
      <w:r>
        <w:rPr>
          <w:rFonts w:ascii="Arial" w:hAnsi="Arial" w:cs="Arial"/>
          <w:sz w:val="24"/>
          <w:szCs w:val="24"/>
          <w:lang w:eastAsia="en-US"/>
        </w:rPr>
        <w:t>l</w:t>
      </w:r>
      <w:r w:rsidRPr="00617FC5">
        <w:rPr>
          <w:rFonts w:ascii="Arial" w:hAnsi="Arial" w:cs="Arial"/>
          <w:sz w:val="24"/>
          <w:szCs w:val="24"/>
          <w:lang w:eastAsia="en-US"/>
        </w:rPr>
        <w:t>ícita ou com as</w:t>
      </w:r>
      <w:r>
        <w:rPr>
          <w:rFonts w:ascii="Arial" w:hAnsi="Arial" w:cs="Arial"/>
          <w:sz w:val="24"/>
          <w:szCs w:val="24"/>
          <w:lang w:eastAsia="en-US"/>
        </w:rPr>
        <w:t xml:space="preserve"> </w:t>
      </w:r>
      <w:r w:rsidRPr="00617FC5">
        <w:rPr>
          <w:rFonts w:ascii="Arial" w:hAnsi="Arial" w:cs="Arial"/>
          <w:sz w:val="24"/>
          <w:szCs w:val="24"/>
          <w:lang w:eastAsia="en-US"/>
        </w:rPr>
        <w:t>quais estejam relacionados na forma desta lei, e na sua</w:t>
      </w:r>
      <w:r>
        <w:rPr>
          <w:rFonts w:ascii="Arial" w:hAnsi="Arial" w:cs="Arial"/>
          <w:sz w:val="24"/>
          <w:szCs w:val="24"/>
          <w:lang w:eastAsia="en-US"/>
        </w:rPr>
        <w:t xml:space="preserve"> </w:t>
      </w:r>
      <w:r w:rsidRPr="00617FC5">
        <w:rPr>
          <w:rFonts w:ascii="Arial" w:hAnsi="Arial" w:cs="Arial"/>
          <w:sz w:val="24"/>
          <w:szCs w:val="24"/>
          <w:lang w:eastAsia="en-US"/>
        </w:rPr>
        <w:t>transferência em favor da União, dos Estados ou do</w:t>
      </w:r>
      <w:r>
        <w:rPr>
          <w:rFonts w:ascii="Arial" w:hAnsi="Arial" w:cs="Arial"/>
          <w:sz w:val="24"/>
          <w:szCs w:val="24"/>
          <w:lang w:eastAsia="en-US"/>
        </w:rPr>
        <w:t xml:space="preserve"> </w:t>
      </w:r>
      <w:r w:rsidRPr="00617FC5">
        <w:rPr>
          <w:rFonts w:ascii="Arial" w:hAnsi="Arial" w:cs="Arial"/>
          <w:sz w:val="24"/>
          <w:szCs w:val="24"/>
          <w:lang w:eastAsia="en-US"/>
        </w:rPr>
        <w:t>Distrito Federal, sem direito a indenização.</w:t>
      </w:r>
    </w:p>
    <w:p w:rsidR="00115CBD" w:rsidRDefault="00115CBD" w:rsidP="00115CBD">
      <w:pPr>
        <w:autoSpaceDE w:val="0"/>
        <w:autoSpaceDN w:val="0"/>
        <w:adjustRightInd w:val="0"/>
        <w:spacing w:after="0" w:line="240" w:lineRule="auto"/>
        <w:ind w:left="3969"/>
        <w:jc w:val="both"/>
        <w:rPr>
          <w:rFonts w:ascii="Arial" w:hAnsi="Arial" w:cs="Arial"/>
          <w:sz w:val="24"/>
          <w:szCs w:val="24"/>
          <w:lang w:eastAsia="en-US"/>
        </w:rPr>
      </w:pPr>
    </w:p>
    <w:p w:rsidR="00617FC5" w:rsidRDefault="00617FC5" w:rsidP="00115CBD">
      <w:pPr>
        <w:autoSpaceDE w:val="0"/>
        <w:autoSpaceDN w:val="0"/>
        <w:adjustRightInd w:val="0"/>
        <w:spacing w:after="0" w:line="240" w:lineRule="auto"/>
        <w:ind w:left="3969"/>
        <w:jc w:val="both"/>
        <w:rPr>
          <w:rFonts w:ascii="Arial" w:hAnsi="Arial" w:cs="Arial"/>
          <w:sz w:val="24"/>
          <w:szCs w:val="24"/>
          <w:lang w:eastAsia="en-US"/>
        </w:rPr>
      </w:pPr>
    </w:p>
    <w:p w:rsidR="00617FC5" w:rsidRPr="00617FC5" w:rsidRDefault="00617FC5" w:rsidP="00115CBD">
      <w:pPr>
        <w:autoSpaceDE w:val="0"/>
        <w:autoSpaceDN w:val="0"/>
        <w:adjustRightInd w:val="0"/>
        <w:spacing w:after="0" w:line="240" w:lineRule="auto"/>
        <w:ind w:left="3969"/>
        <w:jc w:val="both"/>
        <w:rPr>
          <w:rFonts w:ascii="Arial" w:hAnsi="Arial" w:cs="Arial"/>
          <w:sz w:val="24"/>
          <w:szCs w:val="24"/>
          <w:lang w:eastAsia="en-US"/>
        </w:rPr>
      </w:pPr>
    </w:p>
    <w:p w:rsidR="008C5151" w:rsidRPr="00207583" w:rsidRDefault="008C5151" w:rsidP="00D67EB1">
      <w:pPr>
        <w:widowControl w:val="0"/>
        <w:autoSpaceDE w:val="0"/>
        <w:autoSpaceDN w:val="0"/>
        <w:adjustRightInd w:val="0"/>
        <w:spacing w:line="360" w:lineRule="auto"/>
        <w:rPr>
          <w:rFonts w:ascii="Arial" w:hAnsi="Arial" w:cs="Arial"/>
          <w:sz w:val="24"/>
          <w:szCs w:val="24"/>
        </w:rPr>
      </w:pPr>
      <w:r w:rsidRPr="00207583">
        <w:rPr>
          <w:rFonts w:ascii="Arial" w:hAnsi="Arial" w:cs="Arial"/>
          <w:sz w:val="24"/>
          <w:szCs w:val="24"/>
        </w:rPr>
        <w:t>O Congresso Nacional decreta:</w:t>
      </w:r>
    </w:p>
    <w:p w:rsidR="008C5151" w:rsidRPr="00207583" w:rsidRDefault="008C5151" w:rsidP="00D67EB1">
      <w:pPr>
        <w:autoSpaceDE w:val="0"/>
        <w:autoSpaceDN w:val="0"/>
        <w:adjustRightInd w:val="0"/>
        <w:spacing w:after="0" w:line="360" w:lineRule="auto"/>
        <w:ind w:left="3969"/>
        <w:jc w:val="both"/>
        <w:rPr>
          <w:rFonts w:ascii="Arial" w:hAnsi="Arial" w:cs="Arial"/>
          <w:sz w:val="24"/>
          <w:szCs w:val="24"/>
          <w:lang w:eastAsia="en-US"/>
        </w:rPr>
      </w:pP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1º </w:t>
      </w:r>
      <w:r w:rsidRPr="00617FC5">
        <w:rPr>
          <w:rFonts w:ascii="Arial" w:hAnsi="Arial" w:cs="Arial"/>
          <w:color w:val="000000"/>
          <w:sz w:val="24"/>
          <w:szCs w:val="24"/>
          <w:lang w:eastAsia="en-US"/>
        </w:rPr>
        <w:t>Esta lei dispõe sobre a perda civil de bens, que consiste na extinção do direito de</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posse e de propriedade, e de todos os demais direitos, reais ou pessoais, sobre bens de qualquer</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natureza, ou valores, que sejam produto ou proveito, direto ou indireto, de atividade ilícita, ou com</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as quais estejam relacionados na forma desta lei, e na sua transferência em favor da União, dos</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Estados ou do Distrito Federal, sem direito a indenização.</w:t>
      </w:r>
    </w:p>
    <w:p w:rsid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A perda civil de bens abrange a propriedade ou a posse de coisas</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corpóreas e incorpóreas e outros direitos, reais ou pessoais, e seus frutos.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617FC5" w:rsidRDefault="00617FC5" w:rsidP="00617FC5">
      <w:pPr>
        <w:autoSpaceDE w:val="0"/>
        <w:autoSpaceDN w:val="0"/>
        <w:adjustRightInd w:val="0"/>
        <w:spacing w:after="0" w:line="360" w:lineRule="auto"/>
        <w:jc w:val="center"/>
        <w:rPr>
          <w:rFonts w:ascii="Arial" w:hAnsi="Arial" w:cs="Arial"/>
          <w:color w:val="000000"/>
          <w:sz w:val="24"/>
          <w:szCs w:val="24"/>
          <w:lang w:eastAsia="en-US"/>
        </w:rPr>
      </w:pPr>
      <w:r w:rsidRPr="00617FC5">
        <w:rPr>
          <w:rFonts w:ascii="Arial" w:hAnsi="Arial" w:cs="Arial"/>
          <w:color w:val="000000"/>
          <w:sz w:val="24"/>
          <w:szCs w:val="24"/>
          <w:lang w:eastAsia="en-US"/>
        </w:rPr>
        <w:t>CAPÍTULO I</w:t>
      </w:r>
    </w:p>
    <w:p w:rsidR="00617FC5" w:rsidRPr="00617FC5" w:rsidRDefault="00617FC5" w:rsidP="00617FC5">
      <w:pPr>
        <w:autoSpaceDE w:val="0"/>
        <w:autoSpaceDN w:val="0"/>
        <w:adjustRightInd w:val="0"/>
        <w:spacing w:after="0" w:line="360" w:lineRule="auto"/>
        <w:jc w:val="center"/>
        <w:rPr>
          <w:rFonts w:ascii="Arial" w:hAnsi="Arial" w:cs="Arial"/>
          <w:bCs/>
          <w:color w:val="000000"/>
          <w:sz w:val="24"/>
          <w:szCs w:val="24"/>
          <w:lang w:eastAsia="en-US"/>
        </w:rPr>
      </w:pPr>
      <w:r w:rsidRPr="00617FC5">
        <w:rPr>
          <w:rFonts w:ascii="Arial" w:hAnsi="Arial" w:cs="Arial"/>
          <w:bCs/>
          <w:color w:val="000000"/>
          <w:sz w:val="24"/>
          <w:szCs w:val="24"/>
          <w:lang w:eastAsia="en-US"/>
        </w:rPr>
        <w:t>Disposições Gerais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2º </w:t>
      </w:r>
      <w:r w:rsidRPr="00617FC5">
        <w:rPr>
          <w:rFonts w:ascii="Arial" w:hAnsi="Arial" w:cs="Arial"/>
          <w:color w:val="000000"/>
          <w:sz w:val="24"/>
          <w:szCs w:val="24"/>
          <w:lang w:eastAsia="en-US"/>
        </w:rPr>
        <w:t>A perda civil de bens será declarada nas hipóteses em que o bem, direito, valor,</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patrimônio ou seu incremento: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 – </w:t>
      </w:r>
      <w:proofErr w:type="gramStart"/>
      <w:r w:rsidRPr="00617FC5">
        <w:rPr>
          <w:rFonts w:ascii="Arial" w:hAnsi="Arial" w:cs="Arial"/>
          <w:color w:val="000000"/>
          <w:sz w:val="24"/>
          <w:szCs w:val="24"/>
          <w:lang w:eastAsia="en-US"/>
        </w:rPr>
        <w:t>proceda</w:t>
      </w:r>
      <w:proofErr w:type="gramEnd"/>
      <w:r w:rsidRPr="00617FC5">
        <w:rPr>
          <w:rFonts w:ascii="Arial" w:hAnsi="Arial" w:cs="Arial"/>
          <w:color w:val="000000"/>
          <w:sz w:val="24"/>
          <w:szCs w:val="24"/>
          <w:lang w:eastAsia="en-US"/>
        </w:rPr>
        <w:t>, direta ou indiretamente, de atividade ilícita;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II – </w:t>
      </w:r>
      <w:proofErr w:type="gramStart"/>
      <w:r w:rsidRPr="00617FC5">
        <w:rPr>
          <w:rFonts w:ascii="Arial" w:hAnsi="Arial" w:cs="Arial"/>
          <w:color w:val="000000"/>
          <w:sz w:val="24"/>
          <w:szCs w:val="24"/>
          <w:lang w:eastAsia="en-US"/>
        </w:rPr>
        <w:t>seja</w:t>
      </w:r>
      <w:proofErr w:type="gramEnd"/>
      <w:r w:rsidRPr="00617FC5">
        <w:rPr>
          <w:rFonts w:ascii="Arial" w:hAnsi="Arial" w:cs="Arial"/>
          <w:color w:val="000000"/>
          <w:sz w:val="24"/>
          <w:szCs w:val="24"/>
          <w:lang w:eastAsia="en-US"/>
        </w:rPr>
        <w:t xml:space="preserve"> utilizado como meio ou instrumento para a realização de atividade ilícita;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III – esteja relacionado ou destinado à prática de atividade ilícita;</w:t>
      </w:r>
    </w:p>
    <w:p w:rsidR="00375E32" w:rsidRDefault="00375E32" w:rsidP="00617FC5">
      <w:pPr>
        <w:autoSpaceDE w:val="0"/>
        <w:autoSpaceDN w:val="0"/>
        <w:adjustRightInd w:val="0"/>
        <w:spacing w:after="0" w:line="360" w:lineRule="auto"/>
        <w:jc w:val="both"/>
        <w:rPr>
          <w:rFonts w:ascii="Arial" w:hAnsi="Arial" w:cs="Arial"/>
          <w:color w:val="000000"/>
          <w:sz w:val="24"/>
          <w:szCs w:val="24"/>
          <w:lang w:eastAsia="en-US"/>
        </w:rPr>
      </w:pPr>
    </w:p>
    <w:p w:rsidR="00375E32" w:rsidRDefault="00375E32"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IV – </w:t>
      </w:r>
      <w:proofErr w:type="gramStart"/>
      <w:r w:rsidRPr="00617FC5">
        <w:rPr>
          <w:rFonts w:ascii="Arial" w:hAnsi="Arial" w:cs="Arial"/>
          <w:color w:val="000000"/>
          <w:sz w:val="24"/>
          <w:szCs w:val="24"/>
          <w:lang w:eastAsia="en-US"/>
        </w:rPr>
        <w:t>seja</w:t>
      </w:r>
      <w:proofErr w:type="gramEnd"/>
      <w:r w:rsidRPr="00617FC5">
        <w:rPr>
          <w:rFonts w:ascii="Arial" w:hAnsi="Arial" w:cs="Arial"/>
          <w:color w:val="000000"/>
          <w:sz w:val="24"/>
          <w:szCs w:val="24"/>
          <w:lang w:eastAsia="en-US"/>
        </w:rPr>
        <w:t xml:space="preserve"> utilizado para ocultar, encobrir ou dificultar a identificação ou a localização de</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bens de procedência ilícita;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V – </w:t>
      </w:r>
      <w:proofErr w:type="gramStart"/>
      <w:r w:rsidRPr="00617FC5">
        <w:rPr>
          <w:rFonts w:ascii="Arial" w:hAnsi="Arial" w:cs="Arial"/>
          <w:color w:val="000000"/>
          <w:sz w:val="24"/>
          <w:szCs w:val="24"/>
          <w:lang w:eastAsia="en-US"/>
        </w:rPr>
        <w:t>proceda</w:t>
      </w:r>
      <w:proofErr w:type="gramEnd"/>
      <w:r w:rsidRPr="00617FC5">
        <w:rPr>
          <w:rFonts w:ascii="Arial" w:hAnsi="Arial" w:cs="Arial"/>
          <w:color w:val="000000"/>
          <w:sz w:val="24"/>
          <w:szCs w:val="24"/>
          <w:lang w:eastAsia="en-US"/>
        </w:rPr>
        <w:t xml:space="preserve"> de alienação, permuta ou outra espécie de negócio jurídico com bens</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abrangidos por quaisquer das hipóteses previstas nos incisos anteriores.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1º A ilicitude da atividade apta a configurar o desrespeito à função social da propriedade,</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para os fins desta lei, refere-se à procedência, à origem, ou à utilização dos bens de qualquer</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natureza, direitos ou valores, sempre que relacionados, direta ou indiretamente, com as condutas</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previstas nos seguintes dispositivos: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a) art. 159 e parágrafos do Código Penal (extorsão mediante sequestro);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b) art. 231 do Código Penal (tráfico internacional de pessoa com fins de exploração</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sexual);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c) art. 231-A do Código Penal (tráfico interno de pessoa com fins de exploração sexual);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d) art. 312 do Código Penal (peculato);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e) art. 312-A do Código Penal (enriquecimento ilícito);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f) art. 313-A do Código Penal (inserção de dados falsos em sistema de informações);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g) art. 316 do Código Penal (concussão);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h) art. 317 do Código Penal (corrupção passiva);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i) art. 332 do Código Penal (tráfico de influência);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j) art. 333 do Código Penal (corrupção ativa);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k) art. 357 do Código Penal (exploração de prestígio);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l) art. 3º da Lei nº 8.137/1990 (tráfico de influência, corrupção e concussão de funcionários</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do Fisco);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m) art. 17 da Lei nº 10.826/2003 (comércio ilegal de arma de fogo);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n) art. 18 da Lei nº 10.826/2003 (tráfico internacional de arma de fogo);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o) </w:t>
      </w:r>
      <w:proofErr w:type="spellStart"/>
      <w:r w:rsidRPr="00617FC5">
        <w:rPr>
          <w:rFonts w:ascii="Arial" w:hAnsi="Arial" w:cs="Arial"/>
          <w:color w:val="000000"/>
          <w:sz w:val="24"/>
          <w:szCs w:val="24"/>
          <w:lang w:eastAsia="en-US"/>
        </w:rPr>
        <w:t>arts</w:t>
      </w:r>
      <w:proofErr w:type="spellEnd"/>
      <w:r w:rsidRPr="00617FC5">
        <w:rPr>
          <w:rFonts w:ascii="Arial" w:hAnsi="Arial" w:cs="Arial"/>
          <w:color w:val="000000"/>
          <w:sz w:val="24"/>
          <w:szCs w:val="24"/>
          <w:lang w:eastAsia="en-US"/>
        </w:rPr>
        <w:t>. 33 a 39 da Lei nº 11.343/2006.</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2º A transmissão de bens por meio de herança, legado ou doação não obsta a declaração</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de perda civil de bens, nos termos desta lei.</w:t>
      </w:r>
    </w:p>
    <w:p w:rsid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3º O disposto neste artigo não se aplica ao lesado e ao terceiro interessado que, agindo de</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boa-fé, pelas circunstâncias ou pela natureza do negócio, por si ou por seu representante, não tinha</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condições de conhecer a procedência, utilização ou destinação ilícita do bem.</w:t>
      </w:r>
    </w:p>
    <w:p w:rsidR="00375E32" w:rsidRDefault="00375E32" w:rsidP="00617FC5">
      <w:pPr>
        <w:autoSpaceDE w:val="0"/>
        <w:autoSpaceDN w:val="0"/>
        <w:adjustRightInd w:val="0"/>
        <w:spacing w:after="0" w:line="360" w:lineRule="auto"/>
        <w:jc w:val="both"/>
        <w:rPr>
          <w:rFonts w:ascii="Arial" w:hAnsi="Arial" w:cs="Arial"/>
          <w:color w:val="000000"/>
          <w:sz w:val="24"/>
          <w:szCs w:val="24"/>
          <w:lang w:eastAsia="en-US"/>
        </w:rPr>
      </w:pPr>
    </w:p>
    <w:p w:rsidR="00375E32" w:rsidRPr="00617FC5" w:rsidRDefault="00375E32"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3º </w:t>
      </w:r>
      <w:r w:rsidRPr="00617FC5">
        <w:rPr>
          <w:rFonts w:ascii="Arial" w:hAnsi="Arial" w:cs="Arial"/>
          <w:color w:val="000000"/>
          <w:sz w:val="24"/>
          <w:szCs w:val="24"/>
          <w:lang w:eastAsia="en-US"/>
        </w:rPr>
        <w:t>Caberá a perda civil de bens, direitos ou valores situados no Brasil, ainda que a</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atividade ilícita tenha sido praticada no estrangeiro.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1º Na falta de previsão em tratado, os bens, direitos ou valores objeto da perda civil por</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solicitação de autoridade estrangeira competente, ou os recursos provenientes da sua alienação,</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serão repartidos entre o Estado requerente e o Brasil, na proporção de metade.</w:t>
      </w:r>
    </w:p>
    <w:p w:rsid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2º Antes da repartição serão deduzidas as despesas efetuadas com a guarda e manutenção</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dos bens, assim como aquelas decorrentes dos custos necessários à alienação ou devolução.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617FC5" w:rsidRDefault="00617FC5" w:rsidP="00617FC5">
      <w:pPr>
        <w:autoSpaceDE w:val="0"/>
        <w:autoSpaceDN w:val="0"/>
        <w:adjustRightInd w:val="0"/>
        <w:spacing w:after="0" w:line="360" w:lineRule="auto"/>
        <w:jc w:val="center"/>
        <w:rPr>
          <w:rFonts w:ascii="Arial" w:hAnsi="Arial" w:cs="Arial"/>
          <w:color w:val="000000"/>
          <w:sz w:val="24"/>
          <w:szCs w:val="24"/>
          <w:lang w:eastAsia="en-US"/>
        </w:rPr>
      </w:pPr>
      <w:r w:rsidRPr="00617FC5">
        <w:rPr>
          <w:rFonts w:ascii="Arial" w:hAnsi="Arial" w:cs="Arial"/>
          <w:color w:val="000000"/>
          <w:sz w:val="24"/>
          <w:szCs w:val="24"/>
          <w:lang w:eastAsia="en-US"/>
        </w:rPr>
        <w:t>CAPÍTULO II</w:t>
      </w:r>
    </w:p>
    <w:p w:rsidR="00617FC5" w:rsidRDefault="00617FC5" w:rsidP="00617FC5">
      <w:pPr>
        <w:autoSpaceDE w:val="0"/>
        <w:autoSpaceDN w:val="0"/>
        <w:adjustRightInd w:val="0"/>
        <w:spacing w:after="0" w:line="360" w:lineRule="auto"/>
        <w:jc w:val="center"/>
        <w:rPr>
          <w:rFonts w:ascii="Arial" w:hAnsi="Arial" w:cs="Arial"/>
          <w:bCs/>
          <w:color w:val="000000"/>
          <w:sz w:val="24"/>
          <w:szCs w:val="24"/>
          <w:lang w:eastAsia="en-US"/>
        </w:rPr>
      </w:pPr>
      <w:r w:rsidRPr="00617FC5">
        <w:rPr>
          <w:rFonts w:ascii="Arial" w:hAnsi="Arial" w:cs="Arial"/>
          <w:bCs/>
          <w:color w:val="000000"/>
          <w:sz w:val="24"/>
          <w:szCs w:val="24"/>
          <w:lang w:eastAsia="en-US"/>
        </w:rPr>
        <w:t>Da Apuração da Origem Ilícita dos Bens</w:t>
      </w:r>
    </w:p>
    <w:p w:rsidR="00617FC5" w:rsidRPr="00617FC5" w:rsidRDefault="00617FC5" w:rsidP="00617FC5">
      <w:pPr>
        <w:autoSpaceDE w:val="0"/>
        <w:autoSpaceDN w:val="0"/>
        <w:adjustRightInd w:val="0"/>
        <w:spacing w:after="0" w:line="360" w:lineRule="auto"/>
        <w:jc w:val="center"/>
        <w:rPr>
          <w:rFonts w:ascii="Arial" w:hAnsi="Arial" w:cs="Arial"/>
          <w:bCs/>
          <w:color w:val="000000"/>
          <w:sz w:val="24"/>
          <w:szCs w:val="24"/>
          <w:lang w:eastAsia="en-US"/>
        </w:rPr>
      </w:pPr>
    </w:p>
    <w:p w:rsidR="0071343E"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4º </w:t>
      </w:r>
      <w:r w:rsidRPr="00617FC5">
        <w:rPr>
          <w:rFonts w:ascii="Arial" w:hAnsi="Arial" w:cs="Arial"/>
          <w:color w:val="000000"/>
          <w:sz w:val="24"/>
          <w:szCs w:val="24"/>
          <w:lang w:eastAsia="en-US"/>
        </w:rPr>
        <w:t>O Ministério Público e o órgão de representação judicial da pessoa jurídica de</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direito público legitimada poderão instaurar procedimento preparatório ao ajuizamento de ação</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declaratória de perda civil da propriedade ou posse.</w:t>
      </w:r>
    </w:p>
    <w:p w:rsidR="0071343E" w:rsidRPr="00375E32"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O Ministério Público e o órgão de representação judicial da pessoa de</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direito público legitimada poderão requisitar de qualquer órgão ou entidade pública certidões,</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informações, exames ou perícias, ou informações de particular, que julgarem necessárias para a</w:t>
      </w:r>
      <w:r>
        <w:rPr>
          <w:rFonts w:ascii="Arial" w:hAnsi="Arial" w:cs="Arial"/>
          <w:color w:val="000000"/>
          <w:sz w:val="24"/>
          <w:szCs w:val="24"/>
          <w:lang w:eastAsia="en-US"/>
        </w:rPr>
        <w:t xml:space="preserve"> </w:t>
      </w:r>
      <w:r w:rsidRPr="00617FC5">
        <w:rPr>
          <w:rFonts w:ascii="Arial" w:hAnsi="Arial" w:cs="Arial"/>
          <w:color w:val="000000"/>
          <w:sz w:val="24"/>
          <w:szCs w:val="24"/>
          <w:lang w:eastAsia="en-US"/>
        </w:rPr>
        <w:t xml:space="preserve">instrução dos procedimentos de que trata o </w:t>
      </w:r>
      <w:r w:rsidRPr="00617FC5">
        <w:rPr>
          <w:rFonts w:ascii="Arial" w:hAnsi="Arial" w:cs="Arial"/>
          <w:i/>
          <w:iCs/>
          <w:color w:val="000000"/>
          <w:sz w:val="24"/>
          <w:szCs w:val="24"/>
          <w:lang w:eastAsia="en-US"/>
        </w:rPr>
        <w:t>caput</w:t>
      </w:r>
      <w:r w:rsidRPr="00617FC5">
        <w:rPr>
          <w:rFonts w:ascii="Arial" w:hAnsi="Arial" w:cs="Arial"/>
          <w:color w:val="000000"/>
          <w:sz w:val="24"/>
          <w:szCs w:val="24"/>
          <w:lang w:eastAsia="en-US"/>
        </w:rPr>
        <w:t>, no prazo que assinalar, o qual não poderá ser</w:t>
      </w:r>
      <w:r>
        <w:rPr>
          <w:rFonts w:ascii="Arial" w:hAnsi="Arial" w:cs="Arial"/>
          <w:color w:val="000000"/>
          <w:sz w:val="24"/>
          <w:szCs w:val="24"/>
          <w:lang w:eastAsia="en-US"/>
        </w:rPr>
        <w:t xml:space="preserve"> </w:t>
      </w:r>
      <w:r w:rsidR="00375E32">
        <w:rPr>
          <w:rFonts w:ascii="Arial" w:hAnsi="Arial" w:cs="Arial"/>
          <w:color w:val="000000"/>
          <w:sz w:val="24"/>
          <w:szCs w:val="24"/>
          <w:lang w:eastAsia="en-US"/>
        </w:rPr>
        <w:t>inferior a 10 (dez) dias úteis.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5º </w:t>
      </w:r>
      <w:r w:rsidRPr="00617FC5">
        <w:rPr>
          <w:rFonts w:ascii="Arial" w:hAnsi="Arial" w:cs="Arial"/>
          <w:color w:val="000000"/>
          <w:sz w:val="24"/>
          <w:szCs w:val="24"/>
          <w:lang w:eastAsia="en-US"/>
        </w:rPr>
        <w:t>O órgão ou entidade pública que verificar indícios de que bens, direitos ou valores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se encontram nas hipóteses de perda civil previstas nesta lei deverá comunicar o fato ao Ministério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Público e ao órgão de representação judicial da pessoa jurídica de direito público a que estiver</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vinculado.</w:t>
      </w:r>
    </w:p>
    <w:p w:rsid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Verificada a existência de interesse de outra pessoa jurídica de direito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 xml:space="preserve">público, as informações recebidas na forma do </w:t>
      </w:r>
      <w:r w:rsidRPr="00617FC5">
        <w:rPr>
          <w:rFonts w:ascii="Arial" w:hAnsi="Arial" w:cs="Arial"/>
          <w:i/>
          <w:iCs/>
          <w:color w:val="000000"/>
          <w:sz w:val="24"/>
          <w:szCs w:val="24"/>
          <w:lang w:eastAsia="en-US"/>
        </w:rPr>
        <w:t xml:space="preserve">caput </w:t>
      </w:r>
      <w:r w:rsidRPr="00617FC5">
        <w:rPr>
          <w:rFonts w:ascii="Arial" w:hAnsi="Arial" w:cs="Arial"/>
          <w:color w:val="000000"/>
          <w:sz w:val="24"/>
          <w:szCs w:val="24"/>
          <w:lang w:eastAsia="en-US"/>
        </w:rPr>
        <w:t>deverão ser compartilhadas com o respectivo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Ministério Público e órgão de representação judicial.</w:t>
      </w:r>
    </w:p>
    <w:p w:rsidR="0071343E" w:rsidRPr="00617FC5" w:rsidRDefault="0071343E"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5D0286" w:rsidRDefault="0071343E" w:rsidP="0071343E">
      <w:pPr>
        <w:autoSpaceDE w:val="0"/>
        <w:autoSpaceDN w:val="0"/>
        <w:adjustRightInd w:val="0"/>
        <w:spacing w:after="0" w:line="360" w:lineRule="auto"/>
        <w:jc w:val="center"/>
        <w:rPr>
          <w:rFonts w:ascii="Arial" w:hAnsi="Arial" w:cs="Arial"/>
          <w:color w:val="000000"/>
          <w:sz w:val="28"/>
          <w:szCs w:val="24"/>
          <w:lang w:eastAsia="en-US"/>
        </w:rPr>
      </w:pPr>
      <w:r w:rsidRPr="005D0286">
        <w:rPr>
          <w:rFonts w:ascii="Arial" w:hAnsi="Arial" w:cs="Arial"/>
          <w:color w:val="000000"/>
          <w:sz w:val="28"/>
          <w:szCs w:val="24"/>
          <w:lang w:eastAsia="en-US"/>
        </w:rPr>
        <w:t>CAPÍTULO III</w:t>
      </w:r>
    </w:p>
    <w:p w:rsidR="00617FC5" w:rsidRPr="005D0286" w:rsidRDefault="00617FC5" w:rsidP="0071343E">
      <w:pPr>
        <w:autoSpaceDE w:val="0"/>
        <w:autoSpaceDN w:val="0"/>
        <w:adjustRightInd w:val="0"/>
        <w:spacing w:after="0" w:line="360" w:lineRule="auto"/>
        <w:jc w:val="center"/>
        <w:rPr>
          <w:rFonts w:ascii="Arial" w:hAnsi="Arial" w:cs="Arial"/>
          <w:bCs/>
          <w:color w:val="000000"/>
          <w:sz w:val="24"/>
          <w:szCs w:val="24"/>
          <w:lang w:eastAsia="en-US"/>
        </w:rPr>
      </w:pPr>
      <w:r w:rsidRPr="005D0286">
        <w:rPr>
          <w:rFonts w:ascii="Arial" w:hAnsi="Arial" w:cs="Arial"/>
          <w:bCs/>
          <w:color w:val="000000"/>
          <w:sz w:val="24"/>
          <w:szCs w:val="24"/>
          <w:lang w:eastAsia="en-US"/>
        </w:rPr>
        <w:t>Do Processo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lastRenderedPageBreak/>
        <w:t xml:space="preserve">Art. 6º </w:t>
      </w:r>
      <w:r w:rsidRPr="00617FC5">
        <w:rPr>
          <w:rFonts w:ascii="Arial" w:hAnsi="Arial" w:cs="Arial"/>
          <w:color w:val="000000"/>
          <w:sz w:val="24"/>
          <w:szCs w:val="24"/>
          <w:lang w:eastAsia="en-US"/>
        </w:rPr>
        <w:t>A declaração de perda civil independe da aferição de responsabilidade civil ou</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 xml:space="preserve">criminal, bem como do desfecho das respectivas ações civis ou </w:t>
      </w:r>
      <w:proofErr w:type="gramStart"/>
      <w:r w:rsidRPr="00617FC5">
        <w:rPr>
          <w:rFonts w:ascii="Arial" w:hAnsi="Arial" w:cs="Arial"/>
          <w:color w:val="000000"/>
          <w:sz w:val="24"/>
          <w:szCs w:val="24"/>
          <w:lang w:eastAsia="en-US"/>
        </w:rPr>
        <w:t xml:space="preserve">penais, </w:t>
      </w:r>
      <w:r w:rsidR="0071343E">
        <w:rPr>
          <w:rFonts w:ascii="Arial" w:hAnsi="Arial" w:cs="Arial"/>
          <w:color w:val="000000"/>
          <w:sz w:val="24"/>
          <w:szCs w:val="24"/>
          <w:lang w:eastAsia="en-US"/>
        </w:rPr>
        <w:t xml:space="preserve"> r</w:t>
      </w:r>
      <w:r w:rsidRPr="00617FC5">
        <w:rPr>
          <w:rFonts w:ascii="Arial" w:hAnsi="Arial" w:cs="Arial"/>
          <w:color w:val="000000"/>
          <w:sz w:val="24"/>
          <w:szCs w:val="24"/>
          <w:lang w:eastAsia="en-US"/>
        </w:rPr>
        <w:t>essalvada</w:t>
      </w:r>
      <w:proofErr w:type="gramEnd"/>
      <w:r w:rsidRPr="00617FC5">
        <w:rPr>
          <w:rFonts w:ascii="Arial" w:hAnsi="Arial" w:cs="Arial"/>
          <w:color w:val="000000"/>
          <w:sz w:val="24"/>
          <w:szCs w:val="24"/>
          <w:lang w:eastAsia="en-US"/>
        </w:rPr>
        <w:t xml:space="preserve"> a sentença penal</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absolutória que taxativamente reconheça a inexistência do fato ou não ter sido o agente, quando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proprietário do bem, o seu autor, hipótese em que eventual reparação não se submeterá ao regime 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precatório.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7º </w:t>
      </w:r>
      <w:r w:rsidRPr="00617FC5">
        <w:rPr>
          <w:rFonts w:ascii="Arial" w:hAnsi="Arial" w:cs="Arial"/>
          <w:color w:val="000000"/>
          <w:sz w:val="24"/>
          <w:szCs w:val="24"/>
          <w:lang w:eastAsia="en-US"/>
        </w:rPr>
        <w:t>A ação será proposta: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 – </w:t>
      </w:r>
      <w:proofErr w:type="gramStart"/>
      <w:r w:rsidRPr="00617FC5">
        <w:rPr>
          <w:rFonts w:ascii="Arial" w:hAnsi="Arial" w:cs="Arial"/>
          <w:color w:val="000000"/>
          <w:sz w:val="24"/>
          <w:szCs w:val="24"/>
          <w:lang w:eastAsia="en-US"/>
        </w:rPr>
        <w:t>pela</w:t>
      </w:r>
      <w:proofErr w:type="gramEnd"/>
      <w:r w:rsidRPr="00617FC5">
        <w:rPr>
          <w:rFonts w:ascii="Arial" w:hAnsi="Arial" w:cs="Arial"/>
          <w:color w:val="000000"/>
          <w:sz w:val="24"/>
          <w:szCs w:val="24"/>
          <w:lang w:eastAsia="en-US"/>
        </w:rPr>
        <w:t xml:space="preserve"> União, pelos Estados ou pelo Distrito Federal;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II – </w:t>
      </w:r>
      <w:proofErr w:type="gramStart"/>
      <w:r w:rsidRPr="00617FC5">
        <w:rPr>
          <w:rFonts w:ascii="Arial" w:hAnsi="Arial" w:cs="Arial"/>
          <w:color w:val="000000"/>
          <w:sz w:val="24"/>
          <w:szCs w:val="24"/>
          <w:lang w:eastAsia="en-US"/>
        </w:rPr>
        <w:t>pelo</w:t>
      </w:r>
      <w:proofErr w:type="gramEnd"/>
      <w:r w:rsidRPr="00617FC5">
        <w:rPr>
          <w:rFonts w:ascii="Arial" w:hAnsi="Arial" w:cs="Arial"/>
          <w:color w:val="000000"/>
          <w:sz w:val="24"/>
          <w:szCs w:val="24"/>
          <w:lang w:eastAsia="en-US"/>
        </w:rPr>
        <w:t xml:space="preserve"> Ministério Público Federal, nos casos de competência cível da Justiça Federal;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III – pelo Ministério Público dos Estados ou do Distrito Federal e Territórios, nos demais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casos.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1º Nos casos em que não for autor, o Ministério Público intervirá obrigatoriamente como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fiscal da lei.</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2º Intervindo como fiscal da lei, o Ministério Público poderá aditar a petição inicial, 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em caso de desistência ou abandono da ação por ente legitimado, assumirá a titularidade ativa.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8º </w:t>
      </w:r>
      <w:r w:rsidRPr="00617FC5">
        <w:rPr>
          <w:rFonts w:ascii="Arial" w:hAnsi="Arial" w:cs="Arial"/>
          <w:color w:val="000000"/>
          <w:sz w:val="24"/>
          <w:szCs w:val="24"/>
          <w:lang w:eastAsia="en-US"/>
        </w:rPr>
        <w:t>Figurará no polo passivo da ação o titular ou possuidor dos bens, direitos ou</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valores.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O preposto, gerente ou administrador de pessoa jurídica estrangeira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presume-se autorizado a receber citação inicial.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9º </w:t>
      </w:r>
      <w:r w:rsidRPr="00617FC5">
        <w:rPr>
          <w:rFonts w:ascii="Arial" w:hAnsi="Arial" w:cs="Arial"/>
          <w:color w:val="000000"/>
          <w:sz w:val="24"/>
          <w:szCs w:val="24"/>
          <w:lang w:eastAsia="en-US"/>
        </w:rPr>
        <w:t>Se não for possível determinar o proprietário ou o possuidor, figurarão no polo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passivo da ação réus incertos, que serão citados por edital, do qual constará a descrição dos bens.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1º Apresentando-se qualquer pessoa física ou jurídica como titular dos bens, poderá</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ingressar no polo passivo da relação processual, recebendo o processo na fase e no estado em que se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encontra.</w:t>
      </w:r>
    </w:p>
    <w:p w:rsidR="00617FC5" w:rsidRPr="00617FC5" w:rsidRDefault="00617FC5" w:rsidP="0071343E">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2º Aos réus incertos será nomeado curador especial, mesmo na hipótese do parágrafo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anterior.</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10. </w:t>
      </w:r>
      <w:r w:rsidRPr="00617FC5">
        <w:rPr>
          <w:rFonts w:ascii="Arial" w:hAnsi="Arial" w:cs="Arial"/>
          <w:color w:val="000000"/>
          <w:sz w:val="24"/>
          <w:szCs w:val="24"/>
          <w:lang w:eastAsia="en-US"/>
        </w:rPr>
        <w:t>A ação poderá ser proposta no foro do local do fato ou do dano, e, não sendo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conhecidos estes, no foro da situação dos bens ou do domicílio do réu.</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A propositura da ação prevenirá a competência do juízo para todas as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ações de perda civil de bens posteriormente intentadas que possuam a mesma causa de pedir ou 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mesmo objeto.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11. </w:t>
      </w:r>
      <w:r w:rsidRPr="00617FC5">
        <w:rPr>
          <w:rFonts w:ascii="Arial" w:hAnsi="Arial" w:cs="Arial"/>
          <w:color w:val="000000"/>
          <w:sz w:val="24"/>
          <w:szCs w:val="24"/>
          <w:lang w:eastAsia="en-US"/>
        </w:rPr>
        <w:t>A ação de que trata esta lei comportará, a qualquer tempo, a concessão 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 xml:space="preserve">quaisquer medidas de urgência que se mostrem necessárias </w:t>
      </w:r>
      <w:r w:rsidRPr="00617FC5">
        <w:rPr>
          <w:rFonts w:ascii="Arial" w:hAnsi="Arial" w:cs="Arial"/>
          <w:color w:val="000000"/>
          <w:sz w:val="24"/>
          <w:szCs w:val="24"/>
          <w:lang w:eastAsia="en-US"/>
        </w:rPr>
        <w:lastRenderedPageBreak/>
        <w:t>para garantir a eficácia do provimento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final, mesmo que ainda não tenha sido identificado o titular dos bens.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1º As medidas de urgência, concedidas em caráter preparatório, perderão a sua eficácia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se a ação de conhecimento não for proposta no prazo de 60 (sessenta) dias, contados da sua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efetivação, prorrogável por igual período, desde que reconhecida necessidade em decisão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fundamentada pelo juiz da causa.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2º Sem prejuízo da manutenção da eficácia das medidas de urgência enquanto presentes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os seus pressupostos, eventuais pedidos de liberação serão examinados caso a caso, podendo o juiz</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determinar a prática dos atos necessários à conservação de bens, direitos ou valores.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3º Realizada a apreensão do bem, o juiz imediatamente deliberará a respeito da alienação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antecipada, ou sobre a nomeação de administrador.</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4º Uma vez efetivada a constrição sobre o bem, o processo judicial terá prioridade 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tramitação.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12. </w:t>
      </w:r>
      <w:r w:rsidRPr="00617FC5">
        <w:rPr>
          <w:rFonts w:ascii="Arial" w:hAnsi="Arial" w:cs="Arial"/>
          <w:color w:val="000000"/>
          <w:sz w:val="24"/>
          <w:szCs w:val="24"/>
          <w:lang w:eastAsia="en-US"/>
        </w:rPr>
        <w:t>O juiz, de ofício ou a requerimento do Ministério Público ou da parte interessada,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determinará a alienação antecipada a terceiros para preservação do valor dos bens sempre que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estiverem sujeitos a qualquer grau de deterioração ou depreciação, ou quando houver dificuldade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para sua custódia e manutenção.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1º Requerida a alienação dos bens, a respectiva petição será autuada em apartado, e os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autos desse incidente terão tramitação autônoma em relação aos da ação principal.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2º O juiz determinará a avaliação dos bens e intimará:</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 – </w:t>
      </w:r>
      <w:proofErr w:type="gramStart"/>
      <w:r w:rsidRPr="00617FC5">
        <w:rPr>
          <w:rFonts w:ascii="Arial" w:hAnsi="Arial" w:cs="Arial"/>
          <w:color w:val="000000"/>
          <w:sz w:val="24"/>
          <w:szCs w:val="24"/>
          <w:lang w:eastAsia="en-US"/>
        </w:rPr>
        <w:t>o</w:t>
      </w:r>
      <w:proofErr w:type="gramEnd"/>
      <w:r w:rsidRPr="00617FC5">
        <w:rPr>
          <w:rFonts w:ascii="Arial" w:hAnsi="Arial" w:cs="Arial"/>
          <w:color w:val="000000"/>
          <w:sz w:val="24"/>
          <w:szCs w:val="24"/>
          <w:lang w:eastAsia="en-US"/>
        </w:rPr>
        <w:t xml:space="preserve"> Ministério Público;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II – </w:t>
      </w:r>
      <w:proofErr w:type="gramStart"/>
      <w:r w:rsidRPr="00617FC5">
        <w:rPr>
          <w:rFonts w:ascii="Arial" w:hAnsi="Arial" w:cs="Arial"/>
          <w:color w:val="000000"/>
          <w:sz w:val="24"/>
          <w:szCs w:val="24"/>
          <w:lang w:eastAsia="en-US"/>
        </w:rPr>
        <w:t>a</w:t>
      </w:r>
      <w:proofErr w:type="gramEnd"/>
      <w:r w:rsidRPr="00617FC5">
        <w:rPr>
          <w:rFonts w:ascii="Arial" w:hAnsi="Arial" w:cs="Arial"/>
          <w:color w:val="000000"/>
          <w:sz w:val="24"/>
          <w:szCs w:val="24"/>
          <w:lang w:eastAsia="en-US"/>
        </w:rPr>
        <w:t xml:space="preserve"> União, o Estado ou o Distrito Federal, conforme o caso, que terá o prazo de 10 (dez)</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dias para fazer a indicação a que se referem os §§ 3º e 4º deste artigo;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III – o réu, os intervenientes e os interessados conhecidos, com prazo de 10 (dez) dias;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IV – </w:t>
      </w:r>
      <w:proofErr w:type="gramStart"/>
      <w:r w:rsidRPr="00617FC5">
        <w:rPr>
          <w:rFonts w:ascii="Arial" w:hAnsi="Arial" w:cs="Arial"/>
          <w:color w:val="000000"/>
          <w:sz w:val="24"/>
          <w:szCs w:val="24"/>
          <w:lang w:eastAsia="en-US"/>
        </w:rPr>
        <w:t>eventuais</w:t>
      </w:r>
      <w:proofErr w:type="gramEnd"/>
      <w:r w:rsidRPr="00617FC5">
        <w:rPr>
          <w:rFonts w:ascii="Arial" w:hAnsi="Arial" w:cs="Arial"/>
          <w:color w:val="000000"/>
          <w:sz w:val="24"/>
          <w:szCs w:val="24"/>
          <w:lang w:eastAsia="en-US"/>
        </w:rPr>
        <w:t xml:space="preserve"> interessados desconhecidos, por meio de edital.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3º Não serão submetidos à alienação antecipada os bens que a União, o Estado, ou 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Distrito Federal indicar para serem colocados sob uso e custódia de órgãos públicos.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4º Não sendo possível a custódia por órgão público, os bens não submetidos à alienação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 xml:space="preserve">antecipada serão colocados sob uso e custódia de instituição </w:t>
      </w:r>
      <w:r w:rsidRPr="00617FC5">
        <w:rPr>
          <w:rFonts w:ascii="Arial" w:hAnsi="Arial" w:cs="Arial"/>
          <w:color w:val="000000"/>
          <w:sz w:val="24"/>
          <w:szCs w:val="24"/>
          <w:lang w:eastAsia="en-US"/>
        </w:rPr>
        <w:lastRenderedPageBreak/>
        <w:t>privada que exerça atividades 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interesse social ou atividade de natureza pública.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5º Feita a avaliação e dirimidas eventuais divergências sobre o respectivo laudo, o juiz</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homologará o valor atribuído aos bens e determinará que sejam alienados em leilão,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preferencialmente eletrônico, não sendo admitido preço vil.</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6º Realizado o leilão, a quantia apurada será depositada em conta judicial remunerada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vinculada ao processo e ao juízo, nos termos da legislação em vigor.</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7º Serão deduzidos da quantia apurada no leilão todos os tributos e multas incidentes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sobre o bem alienado, sendo tais valores destinados à União, ao Estado, ao Distrito Federal e ao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Município, conforme o caso.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13. </w:t>
      </w:r>
      <w:r w:rsidRPr="00617FC5">
        <w:rPr>
          <w:rFonts w:ascii="Arial" w:hAnsi="Arial" w:cs="Arial"/>
          <w:color w:val="000000"/>
          <w:sz w:val="24"/>
          <w:szCs w:val="24"/>
          <w:lang w:eastAsia="en-US"/>
        </w:rPr>
        <w:t>O juiz, quando necessário, após ouvir o Ministério Público, nomeará pessoa física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ou jurídica qualificada para a administração dos bens, direitos ou valores sujeitos a medidas 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urgência, mediante termo de compromisso.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14. </w:t>
      </w:r>
      <w:r w:rsidRPr="00617FC5">
        <w:rPr>
          <w:rFonts w:ascii="Arial" w:hAnsi="Arial" w:cs="Arial"/>
          <w:color w:val="000000"/>
          <w:sz w:val="24"/>
          <w:szCs w:val="24"/>
          <w:lang w:eastAsia="en-US"/>
        </w:rPr>
        <w:t>A pessoa responsável pela administração dos bens: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 – </w:t>
      </w:r>
      <w:proofErr w:type="gramStart"/>
      <w:r w:rsidRPr="00617FC5">
        <w:rPr>
          <w:rFonts w:ascii="Arial" w:hAnsi="Arial" w:cs="Arial"/>
          <w:color w:val="000000"/>
          <w:sz w:val="24"/>
          <w:szCs w:val="24"/>
          <w:lang w:eastAsia="en-US"/>
        </w:rPr>
        <w:t>fará</w:t>
      </w:r>
      <w:proofErr w:type="gramEnd"/>
      <w:r w:rsidRPr="00617FC5">
        <w:rPr>
          <w:rFonts w:ascii="Arial" w:hAnsi="Arial" w:cs="Arial"/>
          <w:color w:val="000000"/>
          <w:sz w:val="24"/>
          <w:szCs w:val="24"/>
          <w:lang w:eastAsia="en-US"/>
        </w:rPr>
        <w:t xml:space="preserve"> jus a remuneração, fixada pelo juiz, que será satisfeita, preferencialmente, com os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frutos dos bens objeto da administração;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II – </w:t>
      </w:r>
      <w:proofErr w:type="gramStart"/>
      <w:r w:rsidRPr="00617FC5">
        <w:rPr>
          <w:rFonts w:ascii="Arial" w:hAnsi="Arial" w:cs="Arial"/>
          <w:color w:val="000000"/>
          <w:sz w:val="24"/>
          <w:szCs w:val="24"/>
          <w:lang w:eastAsia="en-US"/>
        </w:rPr>
        <w:t>prestará</w:t>
      </w:r>
      <w:proofErr w:type="gramEnd"/>
      <w:r w:rsidRPr="00617FC5">
        <w:rPr>
          <w:rFonts w:ascii="Arial" w:hAnsi="Arial" w:cs="Arial"/>
          <w:color w:val="000000"/>
          <w:sz w:val="24"/>
          <w:szCs w:val="24"/>
          <w:lang w:eastAsia="en-US"/>
        </w:rPr>
        <w:t xml:space="preserve"> contas da gestão dos bens periodicamente, em prazo a ser fixado pelo juiz,</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quando for destituído da administração, quando encerrado o processo de conhecimento e sempre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que o juiz assim o determinar;</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III – realizará todos os atos inerentes à manutenção dos bens, inclusive a contratação 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seguro, quando necessária, vedada a prática de qualquer ato de alienação de domínio;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xml:space="preserve">IV – </w:t>
      </w:r>
      <w:proofErr w:type="gramStart"/>
      <w:r w:rsidRPr="00617FC5">
        <w:rPr>
          <w:rFonts w:ascii="Arial" w:hAnsi="Arial" w:cs="Arial"/>
          <w:color w:val="000000"/>
          <w:sz w:val="24"/>
          <w:szCs w:val="24"/>
          <w:lang w:eastAsia="en-US"/>
        </w:rPr>
        <w:t>poderá</w:t>
      </w:r>
      <w:proofErr w:type="gramEnd"/>
      <w:r w:rsidRPr="00617FC5">
        <w:rPr>
          <w:rFonts w:ascii="Arial" w:hAnsi="Arial" w:cs="Arial"/>
          <w:color w:val="000000"/>
          <w:sz w:val="24"/>
          <w:szCs w:val="24"/>
          <w:lang w:eastAsia="en-US"/>
        </w:rPr>
        <w:t xml:space="preserve"> ceder onerosamente a utilização dos bens para terceiros, exigindo-se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contratação de seguro por parte do cessionário, se assim determinar o juiz, em razão da natureza do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bem ou das circunstâncias relativas ao seu uso.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15. </w:t>
      </w:r>
      <w:r w:rsidRPr="00617FC5">
        <w:rPr>
          <w:rFonts w:ascii="Arial" w:hAnsi="Arial" w:cs="Arial"/>
          <w:color w:val="000000"/>
          <w:sz w:val="24"/>
          <w:szCs w:val="24"/>
          <w:lang w:eastAsia="en-US"/>
        </w:rPr>
        <w:t>Julgado procedente o pedido de perda civil de bens, o juiz determinará as medidas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necessárias à transferência definitiva dos bens, direitos ou valores.</w:t>
      </w:r>
    </w:p>
    <w:p w:rsid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Se o pedido for julgado improcedente por insuficiência de provas,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qualquer legitimado poderá propor nova ação com idêntico fundamento, desde que instruída com</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nova prova.</w:t>
      </w:r>
    </w:p>
    <w:p w:rsidR="0071343E" w:rsidRPr="00617FC5" w:rsidRDefault="0071343E" w:rsidP="00617FC5">
      <w:pPr>
        <w:autoSpaceDE w:val="0"/>
        <w:autoSpaceDN w:val="0"/>
        <w:adjustRightInd w:val="0"/>
        <w:spacing w:after="0" w:line="360" w:lineRule="auto"/>
        <w:jc w:val="both"/>
        <w:rPr>
          <w:rFonts w:ascii="Arial" w:hAnsi="Arial" w:cs="Arial"/>
          <w:color w:val="000000"/>
          <w:sz w:val="24"/>
          <w:szCs w:val="24"/>
          <w:lang w:eastAsia="en-US"/>
        </w:rPr>
      </w:pPr>
    </w:p>
    <w:p w:rsidR="00617FC5" w:rsidRPr="0071343E" w:rsidRDefault="0071343E" w:rsidP="0071343E">
      <w:pPr>
        <w:autoSpaceDE w:val="0"/>
        <w:autoSpaceDN w:val="0"/>
        <w:adjustRightInd w:val="0"/>
        <w:spacing w:after="0" w:line="360" w:lineRule="auto"/>
        <w:jc w:val="center"/>
        <w:rPr>
          <w:rFonts w:ascii="Arial" w:hAnsi="Arial" w:cs="Arial"/>
          <w:color w:val="000000"/>
          <w:sz w:val="24"/>
          <w:szCs w:val="24"/>
          <w:lang w:eastAsia="en-US"/>
        </w:rPr>
      </w:pPr>
      <w:r w:rsidRPr="0071343E">
        <w:rPr>
          <w:rFonts w:ascii="Arial" w:hAnsi="Arial" w:cs="Arial"/>
          <w:color w:val="000000"/>
          <w:sz w:val="24"/>
          <w:szCs w:val="24"/>
          <w:lang w:eastAsia="en-US"/>
        </w:rPr>
        <w:t>CAPÍTULO IV</w:t>
      </w:r>
    </w:p>
    <w:p w:rsidR="00617FC5" w:rsidRDefault="00617FC5" w:rsidP="0071343E">
      <w:pPr>
        <w:autoSpaceDE w:val="0"/>
        <w:autoSpaceDN w:val="0"/>
        <w:adjustRightInd w:val="0"/>
        <w:spacing w:after="0" w:line="360" w:lineRule="auto"/>
        <w:jc w:val="center"/>
        <w:rPr>
          <w:rFonts w:ascii="Arial" w:hAnsi="Arial" w:cs="Arial"/>
          <w:bCs/>
          <w:color w:val="000000"/>
          <w:sz w:val="24"/>
          <w:szCs w:val="24"/>
          <w:lang w:eastAsia="en-US"/>
        </w:rPr>
      </w:pPr>
      <w:r w:rsidRPr="0071343E">
        <w:rPr>
          <w:rFonts w:ascii="Arial" w:hAnsi="Arial" w:cs="Arial"/>
          <w:bCs/>
          <w:color w:val="000000"/>
          <w:sz w:val="24"/>
          <w:szCs w:val="24"/>
          <w:lang w:eastAsia="en-US"/>
        </w:rPr>
        <w:t>Disposições Finais</w:t>
      </w:r>
    </w:p>
    <w:p w:rsidR="0071343E" w:rsidRPr="0071343E" w:rsidRDefault="0071343E" w:rsidP="0071343E">
      <w:pPr>
        <w:autoSpaceDE w:val="0"/>
        <w:autoSpaceDN w:val="0"/>
        <w:adjustRightInd w:val="0"/>
        <w:spacing w:after="0" w:line="360" w:lineRule="auto"/>
        <w:jc w:val="center"/>
        <w:rPr>
          <w:rFonts w:ascii="Arial" w:hAnsi="Arial" w:cs="Arial"/>
          <w:bCs/>
          <w:color w:val="000000"/>
          <w:sz w:val="24"/>
          <w:szCs w:val="24"/>
          <w:lang w:eastAsia="en-US"/>
        </w:rPr>
      </w:pP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lastRenderedPageBreak/>
        <w:t xml:space="preserve">Art. 16. </w:t>
      </w:r>
      <w:r w:rsidRPr="00617FC5">
        <w:rPr>
          <w:rFonts w:ascii="Arial" w:hAnsi="Arial" w:cs="Arial"/>
          <w:color w:val="000000"/>
          <w:sz w:val="24"/>
          <w:szCs w:val="24"/>
          <w:lang w:eastAsia="en-US"/>
        </w:rPr>
        <w:t>Nas ações de que trata esta lei não haverá adiantamento de custas, emolumentos,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honorários periciais e quaisquer outras despesas, nem condenação do autor, salvo a hipótese de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comprovada má-fé, em honorários de advogado, custas e despesas processuais.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1º Sendo necessária perícia, será realizada preferencialmente por peritos integrantes dos</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quadros da Administração Pública direta e indireta.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2º Nos casos de realização de perícia a requerimento do autor ou de ofício, sendo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imprescindível a nomeação de perito não integrante da Administração Pública, as despesas para sua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efetivação serão adiantadas pela União, pelo Estado ou pelo Distrito Federal interessados na ação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prevista nesta lei, conforme o caso.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 3º As despesas com a perícia e os honorários do perito não integrante da Administração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 xml:space="preserve">Pública serão </w:t>
      </w:r>
      <w:proofErr w:type="gramStart"/>
      <w:r w:rsidRPr="00617FC5">
        <w:rPr>
          <w:rFonts w:ascii="Arial" w:hAnsi="Arial" w:cs="Arial"/>
          <w:color w:val="000000"/>
          <w:sz w:val="24"/>
          <w:szCs w:val="24"/>
          <w:lang w:eastAsia="en-US"/>
        </w:rPr>
        <w:t>pagos</w:t>
      </w:r>
      <w:proofErr w:type="gramEnd"/>
      <w:r w:rsidRPr="00617FC5">
        <w:rPr>
          <w:rFonts w:ascii="Arial" w:hAnsi="Arial" w:cs="Arial"/>
          <w:color w:val="000000"/>
          <w:sz w:val="24"/>
          <w:szCs w:val="24"/>
          <w:lang w:eastAsia="en-US"/>
        </w:rPr>
        <w:t xml:space="preserve"> ao final pelo réu, caso vencido, ou pela União, pelo Estado ou pelo Distrito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Federal, conforme o caso.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17. </w:t>
      </w:r>
      <w:r w:rsidRPr="00617FC5">
        <w:rPr>
          <w:rFonts w:ascii="Arial" w:hAnsi="Arial" w:cs="Arial"/>
          <w:color w:val="000000"/>
          <w:sz w:val="24"/>
          <w:szCs w:val="24"/>
          <w:lang w:eastAsia="en-US"/>
        </w:rPr>
        <w:t>Em caso de procedência definitiva do pedido, os recursos auferidos com 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declaração de perda civil de bens e as multas previstas nesta lei serão incorporados ao domínio da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União, dos Estados ou do Distrito Federal, conforme o caso.</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Na hipótese de improcedência, tais valores, corrigidos monetariamente,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serão restituídos ao seu titular.</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18. </w:t>
      </w:r>
      <w:r w:rsidRPr="00617FC5">
        <w:rPr>
          <w:rFonts w:ascii="Arial" w:hAnsi="Arial" w:cs="Arial"/>
          <w:color w:val="000000"/>
          <w:sz w:val="24"/>
          <w:szCs w:val="24"/>
          <w:lang w:eastAsia="en-US"/>
        </w:rPr>
        <w:t>O terceiro que, não sendo réu na ação penal correlata, espontaneamente prestar</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informações de maneira eficaz ou contribuir para a obtenção de provas para a ação de que trata esta</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lei, ou, ainda, colaborar para a localização dos bens, fará jus à retribuição de até cinco por cento do</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produto obtido com a liquidação desses bens.</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color w:val="000000"/>
          <w:sz w:val="24"/>
          <w:szCs w:val="24"/>
          <w:lang w:eastAsia="en-US"/>
        </w:rPr>
        <w:t>Parágrafo único. A retribuição de que trata este artigo será fixada na sentença.</w:t>
      </w:r>
    </w:p>
    <w:p w:rsidR="00617FC5" w:rsidRPr="00617FC5"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19. </w:t>
      </w:r>
      <w:r w:rsidRPr="00617FC5">
        <w:rPr>
          <w:rFonts w:ascii="Arial" w:hAnsi="Arial" w:cs="Arial"/>
          <w:color w:val="000000"/>
          <w:sz w:val="24"/>
          <w:szCs w:val="24"/>
          <w:lang w:eastAsia="en-US"/>
        </w:rPr>
        <w:t>O disposto nesta lei não se aplica aos bens, direitos ou valores oriundos do crime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de tráfico ilícito de entorpecentes e drogas afins, apurados em ação penal, que permanecem</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submetidos à disciplina definida em lei específica.</w:t>
      </w:r>
    </w:p>
    <w:p w:rsidR="00617FC5" w:rsidRPr="005D0286" w:rsidRDefault="00617FC5" w:rsidP="00617FC5">
      <w:pPr>
        <w:autoSpaceDE w:val="0"/>
        <w:autoSpaceDN w:val="0"/>
        <w:adjustRightInd w:val="0"/>
        <w:spacing w:after="0" w:line="360" w:lineRule="auto"/>
        <w:jc w:val="both"/>
        <w:rPr>
          <w:rFonts w:ascii="Arial" w:hAnsi="Arial" w:cs="Arial"/>
          <w:sz w:val="24"/>
          <w:szCs w:val="24"/>
          <w:lang w:eastAsia="en-US"/>
        </w:rPr>
      </w:pPr>
      <w:r w:rsidRPr="00617FC5">
        <w:rPr>
          <w:rFonts w:ascii="Arial" w:hAnsi="Arial" w:cs="Arial"/>
          <w:b/>
          <w:bCs/>
          <w:color w:val="000000"/>
          <w:sz w:val="24"/>
          <w:szCs w:val="24"/>
          <w:lang w:eastAsia="en-US"/>
        </w:rPr>
        <w:t xml:space="preserve">Art. 20. </w:t>
      </w:r>
      <w:r w:rsidRPr="00617FC5">
        <w:rPr>
          <w:rFonts w:ascii="Arial" w:hAnsi="Arial" w:cs="Arial"/>
          <w:color w:val="000000"/>
          <w:sz w:val="24"/>
          <w:szCs w:val="24"/>
          <w:lang w:eastAsia="en-US"/>
        </w:rPr>
        <w:t xml:space="preserve">Aplicam-se a esta </w:t>
      </w:r>
      <w:r w:rsidR="005D0286">
        <w:rPr>
          <w:rFonts w:ascii="Arial" w:hAnsi="Arial" w:cs="Arial"/>
          <w:color w:val="000000"/>
          <w:sz w:val="24"/>
          <w:szCs w:val="24"/>
          <w:lang w:eastAsia="en-US"/>
        </w:rPr>
        <w:t>L</w:t>
      </w:r>
      <w:r w:rsidRPr="00617FC5">
        <w:rPr>
          <w:rFonts w:ascii="Arial" w:hAnsi="Arial" w:cs="Arial"/>
          <w:color w:val="000000"/>
          <w:sz w:val="24"/>
          <w:szCs w:val="24"/>
          <w:lang w:eastAsia="en-US"/>
        </w:rPr>
        <w:t>ei os dispositivos da Lei nº 7.347, de 24 de julho de 1985, que</w:t>
      </w:r>
      <w:r w:rsidR="0071343E">
        <w:rPr>
          <w:rFonts w:ascii="Arial" w:hAnsi="Arial" w:cs="Arial"/>
          <w:color w:val="000000"/>
          <w:sz w:val="24"/>
          <w:szCs w:val="24"/>
          <w:lang w:eastAsia="en-US"/>
        </w:rPr>
        <w:t xml:space="preserve"> </w:t>
      </w:r>
      <w:r w:rsidRPr="00617FC5">
        <w:rPr>
          <w:rFonts w:ascii="Arial" w:hAnsi="Arial" w:cs="Arial"/>
          <w:color w:val="000000"/>
          <w:sz w:val="24"/>
          <w:szCs w:val="24"/>
          <w:lang w:eastAsia="en-US"/>
        </w:rPr>
        <w:t xml:space="preserve">disciplina a ação civil pública e, subsidiariamente, </w:t>
      </w:r>
      <w:r w:rsidRPr="005D0286">
        <w:rPr>
          <w:rFonts w:ascii="Arial" w:hAnsi="Arial" w:cs="Arial"/>
          <w:sz w:val="24"/>
          <w:szCs w:val="24"/>
          <w:lang w:eastAsia="en-US"/>
        </w:rPr>
        <w:t>a Lei nº 5.869, de 11 de janeiro de 1973 –</w:t>
      </w:r>
      <w:r w:rsidR="0071343E" w:rsidRPr="005D0286">
        <w:rPr>
          <w:rFonts w:ascii="Arial" w:hAnsi="Arial" w:cs="Arial"/>
          <w:sz w:val="24"/>
          <w:szCs w:val="24"/>
          <w:lang w:eastAsia="en-US"/>
        </w:rPr>
        <w:t xml:space="preserve"> </w:t>
      </w:r>
      <w:r w:rsidRPr="005D0286">
        <w:rPr>
          <w:rFonts w:ascii="Arial" w:hAnsi="Arial" w:cs="Arial"/>
          <w:sz w:val="24"/>
          <w:szCs w:val="24"/>
          <w:lang w:eastAsia="en-US"/>
        </w:rPr>
        <w:t>Código de Processo Civil.</w:t>
      </w:r>
    </w:p>
    <w:p w:rsidR="00403113" w:rsidRDefault="00617FC5" w:rsidP="00617FC5">
      <w:pPr>
        <w:autoSpaceDE w:val="0"/>
        <w:autoSpaceDN w:val="0"/>
        <w:adjustRightInd w:val="0"/>
        <w:spacing w:after="0" w:line="360" w:lineRule="auto"/>
        <w:jc w:val="both"/>
        <w:rPr>
          <w:rFonts w:ascii="Arial" w:hAnsi="Arial" w:cs="Arial"/>
          <w:color w:val="000000"/>
          <w:sz w:val="24"/>
          <w:szCs w:val="24"/>
          <w:lang w:eastAsia="en-US"/>
        </w:rPr>
      </w:pPr>
      <w:r w:rsidRPr="00617FC5">
        <w:rPr>
          <w:rFonts w:ascii="Arial" w:hAnsi="Arial" w:cs="Arial"/>
          <w:b/>
          <w:bCs/>
          <w:color w:val="000000"/>
          <w:sz w:val="24"/>
          <w:szCs w:val="24"/>
          <w:lang w:eastAsia="en-US"/>
        </w:rPr>
        <w:t xml:space="preserve">Art. 21. </w:t>
      </w:r>
      <w:r w:rsidRPr="00617FC5">
        <w:rPr>
          <w:rFonts w:ascii="Arial" w:hAnsi="Arial" w:cs="Arial"/>
          <w:color w:val="000000"/>
          <w:sz w:val="24"/>
          <w:szCs w:val="24"/>
          <w:lang w:eastAsia="en-US"/>
        </w:rPr>
        <w:t>Esta lei entra em vigor na data de sua publicação.</w:t>
      </w:r>
    </w:p>
    <w:p w:rsidR="00FA0F94" w:rsidRDefault="00FA0F94" w:rsidP="00617FC5">
      <w:pPr>
        <w:autoSpaceDE w:val="0"/>
        <w:autoSpaceDN w:val="0"/>
        <w:adjustRightInd w:val="0"/>
        <w:spacing w:after="0" w:line="360" w:lineRule="auto"/>
        <w:jc w:val="both"/>
        <w:rPr>
          <w:rFonts w:ascii="Arial" w:hAnsi="Arial" w:cs="Arial"/>
          <w:color w:val="000000"/>
          <w:sz w:val="24"/>
          <w:szCs w:val="24"/>
          <w:lang w:eastAsia="en-US"/>
        </w:rPr>
      </w:pPr>
    </w:p>
    <w:p w:rsidR="00375E32" w:rsidRDefault="00375E32" w:rsidP="00FA0F94">
      <w:pPr>
        <w:autoSpaceDE w:val="0"/>
        <w:autoSpaceDN w:val="0"/>
        <w:adjustRightInd w:val="0"/>
        <w:spacing w:after="0" w:line="240" w:lineRule="auto"/>
        <w:jc w:val="center"/>
        <w:rPr>
          <w:rFonts w:ascii="Arial" w:hAnsi="Arial" w:cs="Arial"/>
          <w:b/>
          <w:bCs/>
          <w:sz w:val="32"/>
          <w:szCs w:val="32"/>
          <w:lang w:eastAsia="en-US"/>
        </w:rPr>
      </w:pPr>
    </w:p>
    <w:p w:rsidR="00FA0F94" w:rsidRDefault="00FA0F94" w:rsidP="00FA0F94">
      <w:pPr>
        <w:autoSpaceDE w:val="0"/>
        <w:autoSpaceDN w:val="0"/>
        <w:adjustRightInd w:val="0"/>
        <w:spacing w:after="0" w:line="240" w:lineRule="auto"/>
        <w:jc w:val="center"/>
        <w:rPr>
          <w:rFonts w:ascii="Arial" w:hAnsi="Arial" w:cs="Arial"/>
          <w:b/>
          <w:bCs/>
          <w:sz w:val="32"/>
          <w:szCs w:val="32"/>
          <w:lang w:eastAsia="en-US"/>
        </w:rPr>
      </w:pPr>
      <w:r w:rsidRPr="00FA0F94">
        <w:rPr>
          <w:rFonts w:ascii="Arial" w:hAnsi="Arial" w:cs="Arial"/>
          <w:b/>
          <w:bCs/>
          <w:sz w:val="32"/>
          <w:szCs w:val="32"/>
          <w:lang w:eastAsia="en-US"/>
        </w:rPr>
        <w:lastRenderedPageBreak/>
        <w:t>JUSTIFICATIVA</w:t>
      </w:r>
    </w:p>
    <w:p w:rsidR="00FA0F94" w:rsidRPr="00FA0F94" w:rsidRDefault="00FA0F94" w:rsidP="00FA0F94">
      <w:pPr>
        <w:autoSpaceDE w:val="0"/>
        <w:autoSpaceDN w:val="0"/>
        <w:adjustRightInd w:val="0"/>
        <w:spacing w:after="0" w:line="240" w:lineRule="auto"/>
        <w:jc w:val="center"/>
        <w:rPr>
          <w:rFonts w:ascii="Arial" w:hAnsi="Arial" w:cs="Arial"/>
          <w:b/>
          <w:bCs/>
          <w:sz w:val="32"/>
          <w:szCs w:val="32"/>
          <w:lang w:eastAsia="en-US"/>
        </w:rPr>
      </w:pPr>
    </w:p>
    <w:p w:rsidR="00981682" w:rsidRDefault="00981682" w:rsidP="0098168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O Brasil precisa ser passado a limpo. Acredito numa nova forma de representação capaz de ouvir e entender as demandas da sociedade através da participação direta da população.</w:t>
      </w:r>
    </w:p>
    <w:p w:rsidR="00981682" w:rsidRDefault="00981682" w:rsidP="0098168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 partir dos estudos da Lava Jato, liderados pelo procurador </w:t>
      </w:r>
      <w:proofErr w:type="spellStart"/>
      <w:r w:rsidR="003253E7">
        <w:rPr>
          <w:rFonts w:ascii="Arial" w:hAnsi="Arial" w:cs="Arial"/>
          <w:sz w:val="24"/>
          <w:szCs w:val="24"/>
        </w:rPr>
        <w:t>Deltan</w:t>
      </w:r>
      <w:proofErr w:type="spellEnd"/>
      <w:r w:rsidR="003253E7">
        <w:rPr>
          <w:rFonts w:ascii="Arial" w:hAnsi="Arial" w:cs="Arial"/>
          <w:sz w:val="24"/>
          <w:szCs w:val="24"/>
        </w:rPr>
        <w:t xml:space="preserve"> Dallagnol</w:t>
      </w:r>
      <w:bookmarkStart w:id="0" w:name="_GoBack"/>
      <w:bookmarkEnd w:id="0"/>
      <w:r>
        <w:rPr>
          <w:rFonts w:ascii="Arial" w:hAnsi="Arial" w:cs="Arial"/>
          <w:sz w:val="24"/>
          <w:szCs w:val="24"/>
        </w:rPr>
        <w:t>, o Ministério Público Federal elaborou o “10 Medidas” anticorrupção, composto de 19 Projetos de Lei e 1 Proposta de Emenda à Constituição, para evitar a impunidade que atormenta o País.</w:t>
      </w:r>
    </w:p>
    <w:p w:rsidR="00981682" w:rsidRDefault="00981682" w:rsidP="0098168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Em apoio ao MPF, a sociedade brasileira vem colhendo assinaturas para concretizar tais ideias e transformá-las em propostas que tramitem e sejam aprovadas pelo Congresso Nacional.</w:t>
      </w:r>
    </w:p>
    <w:p w:rsidR="00981682" w:rsidRDefault="00981682" w:rsidP="0098168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Constitucionalmente, cada projeto de lei oferecido pela iniciativa popular precisa ser assinado por, no mínimo, um por cento do eleitorado nacional, distribuído pelo menos por cinco Estados, com não menos de três décimos por cento dos eleitores de cada um deles, sendo certa a dificuldade e burocratização do processo, fato que reclama alterações. </w:t>
      </w:r>
    </w:p>
    <w:p w:rsidR="00981682" w:rsidRDefault="00981682" w:rsidP="0098168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Ao apoiar a iniciativa do MPF, percebi que estão colhendo uma só assinatura para o </w:t>
      </w:r>
      <w:proofErr w:type="spellStart"/>
      <w:r>
        <w:rPr>
          <w:rFonts w:ascii="Arial" w:hAnsi="Arial" w:cs="Arial"/>
          <w:sz w:val="24"/>
          <w:szCs w:val="24"/>
        </w:rPr>
        <w:t>apoiamento</w:t>
      </w:r>
      <w:proofErr w:type="spellEnd"/>
      <w:r>
        <w:rPr>
          <w:rFonts w:ascii="Arial" w:hAnsi="Arial" w:cs="Arial"/>
          <w:sz w:val="24"/>
          <w:szCs w:val="24"/>
        </w:rPr>
        <w:t xml:space="preserve"> de um bloco de projetos de lei, detalhe que -como a legislação obriga o apoio individual para cada proposta- poderia desperdiçar todo o esforço empregado.</w:t>
      </w:r>
    </w:p>
    <w:p w:rsidR="00981682" w:rsidRDefault="00981682" w:rsidP="0098168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Com a honra de ter sido instrumento da sociedade como relator e articulador da aprovação da Lei da Ficha Limpa, no Congresso Nacional, no intuito de contribuir com essa nobre causa e evitar uma possível desilusão dos envolvidos pela causa, pelo detalhe da regra, apresento tais medidas para que desde já o foco de todos nós se volte para dentro do Congresso onde essas medidas serão debatidas, eventualmente aprimoradas e certamente aprovadas.</w:t>
      </w:r>
    </w:p>
    <w:p w:rsidR="00981682" w:rsidRDefault="00981682" w:rsidP="00981682">
      <w:pPr>
        <w:autoSpaceDE w:val="0"/>
        <w:autoSpaceDN w:val="0"/>
        <w:adjustRightInd w:val="0"/>
        <w:spacing w:after="0" w:line="360" w:lineRule="auto"/>
        <w:ind w:firstLine="720"/>
        <w:jc w:val="both"/>
        <w:rPr>
          <w:rFonts w:ascii="Arial" w:hAnsi="Arial" w:cs="Arial"/>
          <w:sz w:val="24"/>
          <w:szCs w:val="24"/>
        </w:rPr>
      </w:pPr>
      <w:r>
        <w:rPr>
          <w:rFonts w:ascii="Arial" w:hAnsi="Arial" w:cs="Arial"/>
          <w:sz w:val="24"/>
          <w:szCs w:val="24"/>
        </w:rPr>
        <w:t xml:space="preserve">Segue na íntegra a argumentação da </w:t>
      </w:r>
      <w:proofErr w:type="gramStart"/>
      <w:r>
        <w:rPr>
          <w:rFonts w:ascii="Arial" w:hAnsi="Arial" w:cs="Arial"/>
          <w:sz w:val="24"/>
          <w:szCs w:val="24"/>
        </w:rPr>
        <w:t>proposta  feita</w:t>
      </w:r>
      <w:proofErr w:type="gramEnd"/>
      <w:r>
        <w:rPr>
          <w:rFonts w:ascii="Arial" w:hAnsi="Arial" w:cs="Arial"/>
          <w:sz w:val="24"/>
          <w:szCs w:val="24"/>
        </w:rPr>
        <w:t xml:space="preserve"> pelo MPF:</w:t>
      </w:r>
    </w:p>
    <w:p w:rsidR="00981682" w:rsidRDefault="00981682" w:rsidP="00FA0F94">
      <w:pPr>
        <w:autoSpaceDE w:val="0"/>
        <w:autoSpaceDN w:val="0"/>
        <w:adjustRightInd w:val="0"/>
        <w:spacing w:after="0" w:line="360" w:lineRule="auto"/>
        <w:ind w:firstLine="709"/>
        <w:jc w:val="both"/>
        <w:rPr>
          <w:rFonts w:ascii="Arial" w:hAnsi="Arial" w:cs="Arial"/>
          <w:sz w:val="24"/>
          <w:szCs w:val="24"/>
          <w:lang w:eastAsia="en-US"/>
        </w:rPr>
      </w:pPr>
    </w:p>
    <w:p w:rsidR="00FA0F94" w:rsidRPr="00FA0F94" w:rsidRDefault="00FA0F94" w:rsidP="00FA0F94">
      <w:pPr>
        <w:autoSpaceDE w:val="0"/>
        <w:autoSpaceDN w:val="0"/>
        <w:adjustRightInd w:val="0"/>
        <w:spacing w:after="0" w:line="360" w:lineRule="auto"/>
        <w:ind w:firstLine="709"/>
        <w:jc w:val="both"/>
        <w:rPr>
          <w:rFonts w:ascii="Arial" w:hAnsi="Arial" w:cs="Arial"/>
          <w:sz w:val="24"/>
          <w:szCs w:val="24"/>
          <w:lang w:eastAsia="en-US"/>
        </w:rPr>
      </w:pPr>
      <w:r w:rsidRPr="00FA0F94">
        <w:rPr>
          <w:rFonts w:ascii="Arial" w:hAnsi="Arial" w:cs="Arial"/>
          <w:sz w:val="24"/>
          <w:szCs w:val="24"/>
          <w:lang w:eastAsia="en-US"/>
        </w:rPr>
        <w:t>O anteprojeto de lei para disciplinar a perda civil de bens adquiridos com a prática de</w:t>
      </w:r>
      <w:r>
        <w:rPr>
          <w:rFonts w:ascii="Arial" w:hAnsi="Arial" w:cs="Arial"/>
          <w:sz w:val="24"/>
          <w:szCs w:val="24"/>
          <w:lang w:eastAsia="en-US"/>
        </w:rPr>
        <w:t xml:space="preserve"> </w:t>
      </w:r>
      <w:r w:rsidRPr="00FA0F94">
        <w:rPr>
          <w:rFonts w:ascii="Arial" w:hAnsi="Arial" w:cs="Arial"/>
          <w:sz w:val="24"/>
          <w:szCs w:val="24"/>
          <w:lang w:eastAsia="en-US"/>
        </w:rPr>
        <w:t xml:space="preserve">ilícito (ação de extinção de domínio) foi </w:t>
      </w:r>
      <w:proofErr w:type="gramStart"/>
      <w:r w:rsidRPr="00FA0F94">
        <w:rPr>
          <w:rFonts w:ascii="Arial" w:hAnsi="Arial" w:cs="Arial"/>
          <w:sz w:val="24"/>
          <w:szCs w:val="24"/>
          <w:lang w:eastAsia="en-US"/>
        </w:rPr>
        <w:t>exaustivamente estudada e discutida</w:t>
      </w:r>
      <w:proofErr w:type="gramEnd"/>
      <w:r w:rsidRPr="00FA0F94">
        <w:rPr>
          <w:rFonts w:ascii="Arial" w:hAnsi="Arial" w:cs="Arial"/>
          <w:sz w:val="24"/>
          <w:szCs w:val="24"/>
          <w:lang w:eastAsia="en-US"/>
        </w:rPr>
        <w:t xml:space="preserve"> durante metas e ações</w:t>
      </w:r>
      <w:r>
        <w:rPr>
          <w:rFonts w:ascii="Arial" w:hAnsi="Arial" w:cs="Arial"/>
          <w:sz w:val="24"/>
          <w:szCs w:val="24"/>
          <w:lang w:eastAsia="en-US"/>
        </w:rPr>
        <w:t xml:space="preserve"> </w:t>
      </w:r>
      <w:r w:rsidRPr="00FA0F94">
        <w:rPr>
          <w:rFonts w:ascii="Arial" w:hAnsi="Arial" w:cs="Arial"/>
          <w:sz w:val="24"/>
          <w:szCs w:val="24"/>
          <w:lang w:eastAsia="en-US"/>
        </w:rPr>
        <w:t xml:space="preserve">da Estratégia Nacional de Combate à </w:t>
      </w:r>
      <w:r>
        <w:rPr>
          <w:rFonts w:ascii="Arial" w:hAnsi="Arial" w:cs="Arial"/>
          <w:sz w:val="24"/>
          <w:szCs w:val="24"/>
          <w:lang w:eastAsia="en-US"/>
        </w:rPr>
        <w:t>C</w:t>
      </w:r>
      <w:r w:rsidRPr="00FA0F94">
        <w:rPr>
          <w:rFonts w:ascii="Arial" w:hAnsi="Arial" w:cs="Arial"/>
          <w:sz w:val="24"/>
          <w:szCs w:val="24"/>
          <w:lang w:eastAsia="en-US"/>
        </w:rPr>
        <w:t>orrupção e Lavagem de Ativos (ENCCLA) em 2005, 2010 e</w:t>
      </w:r>
      <w:r>
        <w:rPr>
          <w:rFonts w:ascii="Arial" w:hAnsi="Arial" w:cs="Arial"/>
          <w:sz w:val="24"/>
          <w:szCs w:val="24"/>
          <w:lang w:eastAsia="en-US"/>
        </w:rPr>
        <w:t xml:space="preserve"> </w:t>
      </w:r>
      <w:r w:rsidRPr="00FA0F94">
        <w:rPr>
          <w:rFonts w:ascii="Arial" w:hAnsi="Arial" w:cs="Arial"/>
          <w:sz w:val="24"/>
          <w:szCs w:val="24"/>
          <w:lang w:eastAsia="en-US"/>
        </w:rPr>
        <w:t>2011. O fruto do debate foi a unanimidade dos diversos órgãos que compõem aquele foro em torno</w:t>
      </w:r>
      <w:r>
        <w:rPr>
          <w:rFonts w:ascii="Arial" w:hAnsi="Arial" w:cs="Arial"/>
          <w:sz w:val="24"/>
          <w:szCs w:val="24"/>
          <w:lang w:eastAsia="en-US"/>
        </w:rPr>
        <w:t xml:space="preserve"> </w:t>
      </w:r>
      <w:r w:rsidRPr="00FA0F94">
        <w:rPr>
          <w:rFonts w:ascii="Arial" w:hAnsi="Arial" w:cs="Arial"/>
          <w:sz w:val="24"/>
          <w:szCs w:val="24"/>
          <w:lang w:eastAsia="en-US"/>
        </w:rPr>
        <w:t>do projeto acima, o qual é o resultado final da ação 16 da ENCCLA, referente ao ano de 2011.</w:t>
      </w:r>
    </w:p>
    <w:p w:rsidR="00FA0F94" w:rsidRPr="00FA0F94" w:rsidRDefault="00FA0F94" w:rsidP="00FA0F94">
      <w:pPr>
        <w:autoSpaceDE w:val="0"/>
        <w:autoSpaceDN w:val="0"/>
        <w:adjustRightInd w:val="0"/>
        <w:spacing w:after="0" w:line="360" w:lineRule="auto"/>
        <w:ind w:firstLine="709"/>
        <w:jc w:val="both"/>
        <w:rPr>
          <w:rFonts w:ascii="Arial" w:hAnsi="Arial" w:cs="Arial"/>
          <w:sz w:val="24"/>
          <w:szCs w:val="24"/>
          <w:lang w:eastAsia="en-US"/>
        </w:rPr>
      </w:pPr>
      <w:r w:rsidRPr="00FA0F94">
        <w:rPr>
          <w:rFonts w:ascii="Arial" w:hAnsi="Arial" w:cs="Arial"/>
          <w:sz w:val="24"/>
          <w:szCs w:val="24"/>
          <w:lang w:eastAsia="en-US"/>
        </w:rPr>
        <w:lastRenderedPageBreak/>
        <w:t xml:space="preserve">A única diferença entre o projeto da ENCCLA e o ora apresentado </w:t>
      </w:r>
      <w:r>
        <w:rPr>
          <w:rFonts w:ascii="Arial" w:hAnsi="Arial" w:cs="Arial"/>
          <w:sz w:val="24"/>
          <w:szCs w:val="24"/>
          <w:lang w:eastAsia="en-US"/>
        </w:rPr>
        <w:t>c</w:t>
      </w:r>
      <w:r w:rsidRPr="00FA0F94">
        <w:rPr>
          <w:rFonts w:ascii="Arial" w:hAnsi="Arial" w:cs="Arial"/>
          <w:sz w:val="24"/>
          <w:szCs w:val="24"/>
          <w:lang w:eastAsia="en-US"/>
        </w:rPr>
        <w:t>onsiste em correção de</w:t>
      </w:r>
      <w:r>
        <w:rPr>
          <w:rFonts w:ascii="Arial" w:hAnsi="Arial" w:cs="Arial"/>
          <w:sz w:val="24"/>
          <w:szCs w:val="24"/>
          <w:lang w:eastAsia="en-US"/>
        </w:rPr>
        <w:t xml:space="preserve"> </w:t>
      </w:r>
      <w:r w:rsidRPr="00FA0F94">
        <w:rPr>
          <w:rFonts w:ascii="Arial" w:hAnsi="Arial" w:cs="Arial"/>
          <w:sz w:val="24"/>
          <w:szCs w:val="24"/>
          <w:lang w:eastAsia="en-US"/>
        </w:rPr>
        <w:t>erro material na menção, pelo artigo 2º do anteprojeto, ao artigo do Código Penal que corresponde</w:t>
      </w:r>
      <w:r>
        <w:rPr>
          <w:rFonts w:ascii="Arial" w:hAnsi="Arial" w:cs="Arial"/>
          <w:sz w:val="24"/>
          <w:szCs w:val="24"/>
          <w:lang w:eastAsia="en-US"/>
        </w:rPr>
        <w:t xml:space="preserve"> </w:t>
      </w:r>
      <w:r w:rsidRPr="00FA0F94">
        <w:rPr>
          <w:rFonts w:ascii="Arial" w:hAnsi="Arial" w:cs="Arial"/>
          <w:sz w:val="24"/>
          <w:szCs w:val="24"/>
          <w:lang w:eastAsia="en-US"/>
        </w:rPr>
        <w:t>ao crime de inserção de dados falsos em sistemas de informações, bem como na inserção do crime</w:t>
      </w:r>
      <w:r>
        <w:rPr>
          <w:rFonts w:ascii="Arial" w:hAnsi="Arial" w:cs="Arial"/>
          <w:sz w:val="24"/>
          <w:szCs w:val="24"/>
          <w:lang w:eastAsia="en-US"/>
        </w:rPr>
        <w:t xml:space="preserve"> </w:t>
      </w:r>
      <w:r w:rsidRPr="00FA0F94">
        <w:rPr>
          <w:rFonts w:ascii="Arial" w:hAnsi="Arial" w:cs="Arial"/>
          <w:sz w:val="24"/>
          <w:szCs w:val="24"/>
          <w:lang w:eastAsia="en-US"/>
        </w:rPr>
        <w:t>de enriquecimento ilícito, cuja tipificação é proposta em projeto de lei oferecido em apartado.</w:t>
      </w:r>
      <w:r>
        <w:rPr>
          <w:rFonts w:ascii="Arial" w:hAnsi="Arial" w:cs="Arial"/>
          <w:sz w:val="24"/>
          <w:szCs w:val="24"/>
          <w:lang w:eastAsia="en-US"/>
        </w:rPr>
        <w:t xml:space="preserve"> </w:t>
      </w:r>
      <w:r w:rsidRPr="00FA0F94">
        <w:rPr>
          <w:rFonts w:ascii="Arial" w:hAnsi="Arial" w:cs="Arial"/>
          <w:sz w:val="24"/>
          <w:szCs w:val="24"/>
          <w:lang w:eastAsia="en-US"/>
        </w:rPr>
        <w:t>São reproduzidas abaixo as justificativas apresentadas como produto das discussões</w:t>
      </w:r>
      <w:r>
        <w:rPr>
          <w:rFonts w:ascii="Arial" w:hAnsi="Arial" w:cs="Arial"/>
          <w:sz w:val="24"/>
          <w:szCs w:val="24"/>
          <w:lang w:eastAsia="en-US"/>
        </w:rPr>
        <w:t xml:space="preserve"> </w:t>
      </w:r>
      <w:r w:rsidRPr="00FA0F94">
        <w:rPr>
          <w:rFonts w:ascii="Arial" w:hAnsi="Arial" w:cs="Arial"/>
          <w:sz w:val="24"/>
          <w:szCs w:val="24"/>
          <w:lang w:eastAsia="en-US"/>
        </w:rPr>
        <w:t>desenvolvidas durante os trabalhos da ação 16 da ENCCLA:</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“A extinção civil do domínio, ou perda civil de bens, no direito estrangeiro, é conceituada como a privação do direito de propriedade sem qualquer compensação a seu titular, em razão de aquela ter</w:t>
      </w:r>
      <w:r>
        <w:rPr>
          <w:rFonts w:ascii="Arial" w:hAnsi="Arial" w:cs="Arial"/>
          <w:lang w:eastAsia="en-US"/>
        </w:rPr>
        <w:t xml:space="preserve"> </w:t>
      </w:r>
      <w:r w:rsidRPr="00FA0F94">
        <w:rPr>
          <w:rFonts w:ascii="Arial" w:hAnsi="Arial" w:cs="Arial"/>
          <w:lang w:eastAsia="en-US"/>
        </w:rPr>
        <w:t>sido usada de maneira contrária às determinações legais do ente soberano. Num contexto mundial</w:t>
      </w:r>
      <w:r>
        <w:rPr>
          <w:rFonts w:ascii="Arial" w:hAnsi="Arial" w:cs="Arial"/>
          <w:lang w:eastAsia="en-US"/>
        </w:rPr>
        <w:t xml:space="preserve"> </w:t>
      </w:r>
      <w:r w:rsidRPr="00FA0F94">
        <w:rPr>
          <w:rFonts w:ascii="Arial" w:hAnsi="Arial" w:cs="Arial"/>
          <w:lang w:eastAsia="en-US"/>
        </w:rPr>
        <w:t>de busca ao intensivo combate à prática de lavagem de dinheiro, os organismos internacionais</w:t>
      </w:r>
      <w:r>
        <w:rPr>
          <w:rFonts w:ascii="Arial" w:hAnsi="Arial" w:cs="Arial"/>
          <w:lang w:eastAsia="en-US"/>
        </w:rPr>
        <w:t xml:space="preserve"> </w:t>
      </w:r>
      <w:r w:rsidRPr="00FA0F94">
        <w:rPr>
          <w:rFonts w:ascii="Arial" w:hAnsi="Arial" w:cs="Arial"/>
          <w:lang w:eastAsia="en-US"/>
        </w:rPr>
        <w:t>recomendam a implementação, por parte das nações, de legislação que autorize a extinção civil de</w:t>
      </w:r>
      <w:r>
        <w:rPr>
          <w:rFonts w:ascii="Arial" w:hAnsi="Arial" w:cs="Arial"/>
          <w:lang w:eastAsia="en-US"/>
        </w:rPr>
        <w:t xml:space="preserve"> </w:t>
      </w:r>
      <w:r w:rsidRPr="00FA0F94">
        <w:rPr>
          <w:rFonts w:ascii="Arial" w:hAnsi="Arial" w:cs="Arial"/>
          <w:lang w:eastAsia="en-US"/>
        </w:rPr>
        <w:t xml:space="preserve">domínio </w:t>
      </w:r>
      <w:r w:rsidRPr="00FA0F94">
        <w:rPr>
          <w:rFonts w:ascii="Arial" w:hAnsi="Arial" w:cs="Arial"/>
          <w:i/>
          <w:iCs/>
          <w:lang w:eastAsia="en-US"/>
        </w:rPr>
        <w:t xml:space="preserve">in rem </w:t>
      </w:r>
      <w:r w:rsidRPr="00FA0F94">
        <w:rPr>
          <w:rFonts w:ascii="Arial" w:hAnsi="Arial" w:cs="Arial"/>
          <w:lang w:eastAsia="en-US"/>
        </w:rPr>
        <w:t>ou perda civil de bens.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No Brasil, o fundamento constitucional que autoriza a expropriação sem indenização da</w:t>
      </w:r>
      <w:r>
        <w:rPr>
          <w:rFonts w:ascii="Arial" w:hAnsi="Arial" w:cs="Arial"/>
          <w:lang w:eastAsia="en-US"/>
        </w:rPr>
        <w:t xml:space="preserve"> </w:t>
      </w:r>
      <w:r w:rsidRPr="00FA0F94">
        <w:rPr>
          <w:rFonts w:ascii="Arial" w:hAnsi="Arial" w:cs="Arial"/>
          <w:lang w:eastAsia="en-US"/>
        </w:rPr>
        <w:t>propriedade ou posse, em razão do descumprimento de sua função social, encontra lastro no artigo</w:t>
      </w:r>
      <w:r>
        <w:rPr>
          <w:rFonts w:ascii="Arial" w:hAnsi="Arial" w:cs="Arial"/>
          <w:lang w:eastAsia="en-US"/>
        </w:rPr>
        <w:t xml:space="preserve"> </w:t>
      </w:r>
      <w:r w:rsidRPr="00FA0F94">
        <w:rPr>
          <w:rFonts w:ascii="Arial" w:hAnsi="Arial" w:cs="Arial"/>
          <w:lang w:eastAsia="en-US"/>
        </w:rPr>
        <w:t>5º, inciso XXIII, da Constituição Federal de 1988, que reza: “a propriedade atenderá a sua função</w:t>
      </w:r>
      <w:r>
        <w:rPr>
          <w:rFonts w:ascii="Arial" w:hAnsi="Arial" w:cs="Arial"/>
          <w:lang w:eastAsia="en-US"/>
        </w:rPr>
        <w:t xml:space="preserve"> </w:t>
      </w:r>
      <w:r w:rsidRPr="00FA0F94">
        <w:rPr>
          <w:rFonts w:ascii="Arial" w:hAnsi="Arial" w:cs="Arial"/>
          <w:lang w:eastAsia="en-US"/>
        </w:rPr>
        <w:t>social”.</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A natureza jurídica do instituto conforma-se com uma compensação, uma reparação devida pelo</w:t>
      </w:r>
      <w:r>
        <w:rPr>
          <w:rFonts w:ascii="Arial" w:hAnsi="Arial" w:cs="Arial"/>
          <w:lang w:eastAsia="en-US"/>
        </w:rPr>
        <w:t xml:space="preserve"> </w:t>
      </w:r>
      <w:r w:rsidRPr="00FA0F94">
        <w:rPr>
          <w:rFonts w:ascii="Arial" w:hAnsi="Arial" w:cs="Arial"/>
          <w:lang w:eastAsia="en-US"/>
        </w:rPr>
        <w:t>proprietário ao Estado, em razão de ter aquele usado ou permitido que se usasse o bem objeto de</w:t>
      </w:r>
      <w:r>
        <w:rPr>
          <w:rFonts w:ascii="Arial" w:hAnsi="Arial" w:cs="Arial"/>
          <w:lang w:eastAsia="en-US"/>
        </w:rPr>
        <w:t xml:space="preserve"> </w:t>
      </w:r>
      <w:r w:rsidRPr="00FA0F94">
        <w:rPr>
          <w:rFonts w:ascii="Arial" w:hAnsi="Arial" w:cs="Arial"/>
          <w:lang w:eastAsia="en-US"/>
        </w:rPr>
        <w:t>perdimento contrariamente ao que estabelece o ordenamento jurídico que, em última instância,</w:t>
      </w:r>
      <w:r>
        <w:rPr>
          <w:rFonts w:ascii="Arial" w:hAnsi="Arial" w:cs="Arial"/>
          <w:lang w:eastAsia="en-US"/>
        </w:rPr>
        <w:t xml:space="preserve"> </w:t>
      </w:r>
      <w:r w:rsidRPr="00FA0F94">
        <w:rPr>
          <w:rFonts w:ascii="Arial" w:hAnsi="Arial" w:cs="Arial"/>
          <w:lang w:eastAsia="en-US"/>
        </w:rPr>
        <w:t>autoriza, legitima e protege o próprio exercício do direito à propriedade.</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A perda civil da propriedade apresenta dupla finalidade: diminuir a capacidade de ação das</w:t>
      </w:r>
      <w:r>
        <w:rPr>
          <w:rFonts w:ascii="Arial" w:hAnsi="Arial" w:cs="Arial"/>
          <w:lang w:eastAsia="en-US"/>
        </w:rPr>
        <w:t xml:space="preserve"> </w:t>
      </w:r>
      <w:r w:rsidRPr="00FA0F94">
        <w:rPr>
          <w:rFonts w:ascii="Arial" w:hAnsi="Arial" w:cs="Arial"/>
          <w:lang w:eastAsia="en-US"/>
        </w:rPr>
        <w:t>organizações criminosas pela retirada de seus meios materiais de atuação e ampliar a capacidade</w:t>
      </w:r>
      <w:r>
        <w:rPr>
          <w:rFonts w:ascii="Arial" w:hAnsi="Arial" w:cs="Arial"/>
          <w:lang w:eastAsia="en-US"/>
        </w:rPr>
        <w:t xml:space="preserve"> </w:t>
      </w:r>
      <w:r w:rsidRPr="00FA0F94">
        <w:rPr>
          <w:rFonts w:ascii="Arial" w:hAnsi="Arial" w:cs="Arial"/>
          <w:lang w:eastAsia="en-US"/>
        </w:rPr>
        <w:t>material de combate aos males gerados por essa mesma atuação por via de transferência dos</w:t>
      </w:r>
      <w:r>
        <w:rPr>
          <w:rFonts w:ascii="Arial" w:hAnsi="Arial" w:cs="Arial"/>
          <w:lang w:eastAsia="en-US"/>
        </w:rPr>
        <w:t xml:space="preserve"> </w:t>
      </w:r>
      <w:r w:rsidRPr="00FA0F94">
        <w:rPr>
          <w:rFonts w:ascii="Arial" w:hAnsi="Arial" w:cs="Arial"/>
          <w:lang w:eastAsia="en-US"/>
        </w:rPr>
        <w:t xml:space="preserve">produtos da ação civil de perdimento </w:t>
      </w:r>
      <w:r w:rsidRPr="00FA0F94">
        <w:rPr>
          <w:rFonts w:ascii="Arial" w:hAnsi="Arial" w:cs="Arial"/>
          <w:i/>
          <w:iCs/>
          <w:lang w:eastAsia="en-US"/>
        </w:rPr>
        <w:t xml:space="preserve">in rem </w:t>
      </w:r>
      <w:r w:rsidRPr="00FA0F94">
        <w:rPr>
          <w:rFonts w:ascii="Arial" w:hAnsi="Arial" w:cs="Arial"/>
          <w:lang w:eastAsia="en-US"/>
        </w:rPr>
        <w:t>à pessoa jurídica de direito público afetada pelas</w:t>
      </w:r>
      <w:r>
        <w:rPr>
          <w:rFonts w:ascii="Arial" w:hAnsi="Arial" w:cs="Arial"/>
          <w:lang w:eastAsia="en-US"/>
        </w:rPr>
        <w:t xml:space="preserve"> </w:t>
      </w:r>
      <w:r w:rsidRPr="00FA0F94">
        <w:rPr>
          <w:rFonts w:ascii="Arial" w:hAnsi="Arial" w:cs="Arial"/>
          <w:lang w:eastAsia="en-US"/>
        </w:rPr>
        <w:t>práticas ilícitas.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Uma vez explicitada a natureza jurídica do instituto, passa o texto do anteprojeto de lei a tratar das</w:t>
      </w:r>
      <w:r>
        <w:rPr>
          <w:rFonts w:ascii="Arial" w:hAnsi="Arial" w:cs="Arial"/>
          <w:lang w:eastAsia="en-US"/>
        </w:rPr>
        <w:t xml:space="preserve"> </w:t>
      </w:r>
      <w:r w:rsidRPr="00FA0F94">
        <w:rPr>
          <w:rFonts w:ascii="Arial" w:hAnsi="Arial" w:cs="Arial"/>
          <w:lang w:eastAsia="en-US"/>
        </w:rPr>
        <w:t>hipóteses em que a perda civil pode ser declarada, as quais correspondem às teorias reconhecidas</w:t>
      </w:r>
      <w:r>
        <w:rPr>
          <w:rFonts w:ascii="Arial" w:hAnsi="Arial" w:cs="Arial"/>
          <w:lang w:eastAsia="en-US"/>
        </w:rPr>
        <w:t xml:space="preserve"> </w:t>
      </w:r>
      <w:r w:rsidRPr="00FA0F94">
        <w:rPr>
          <w:rFonts w:ascii="Arial" w:hAnsi="Arial" w:cs="Arial"/>
          <w:lang w:eastAsia="en-US"/>
        </w:rPr>
        <w:t>pela doutrina internacional a embasar o perdimento. O substrato dos casos que autorizam a perda</w:t>
      </w:r>
      <w:r>
        <w:rPr>
          <w:rFonts w:ascii="Arial" w:hAnsi="Arial" w:cs="Arial"/>
          <w:lang w:eastAsia="en-US"/>
        </w:rPr>
        <w:t xml:space="preserve"> </w:t>
      </w:r>
      <w:r w:rsidRPr="00FA0F94">
        <w:rPr>
          <w:rFonts w:ascii="Arial" w:hAnsi="Arial" w:cs="Arial"/>
          <w:lang w:eastAsia="en-US"/>
        </w:rPr>
        <w:t>civil consiste na vinculação, de qualquer forma, do bem, direito ou valor com atividades ilícitas.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Entretanto, tais atividades se restringem àquelas enumeradas no § 1º do artigo 2º, por serem</w:t>
      </w:r>
      <w:r>
        <w:rPr>
          <w:rFonts w:ascii="Arial" w:hAnsi="Arial" w:cs="Arial"/>
          <w:lang w:eastAsia="en-US"/>
        </w:rPr>
        <w:t xml:space="preserve"> </w:t>
      </w:r>
      <w:r w:rsidRPr="00FA0F94">
        <w:rPr>
          <w:rFonts w:ascii="Arial" w:hAnsi="Arial" w:cs="Arial"/>
          <w:lang w:eastAsia="en-US"/>
        </w:rPr>
        <w:t xml:space="preserve">consideradas de alta gravidade e reprovabilidade no meio </w:t>
      </w:r>
      <w:r w:rsidRPr="00FA0F94">
        <w:rPr>
          <w:rFonts w:ascii="Arial" w:hAnsi="Arial" w:cs="Arial"/>
          <w:lang w:eastAsia="en-US"/>
        </w:rPr>
        <w:lastRenderedPageBreak/>
        <w:t>social, estando intrinsecamente</w:t>
      </w:r>
      <w:r>
        <w:rPr>
          <w:rFonts w:ascii="Arial" w:hAnsi="Arial" w:cs="Arial"/>
          <w:lang w:eastAsia="en-US"/>
        </w:rPr>
        <w:t xml:space="preserve"> </w:t>
      </w:r>
      <w:r w:rsidRPr="00FA0F94">
        <w:rPr>
          <w:rFonts w:ascii="Arial" w:hAnsi="Arial" w:cs="Arial"/>
          <w:lang w:eastAsia="en-US"/>
        </w:rPr>
        <w:t>relacionadas às práticas de organizações criminosas.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Quando as atividades ilícitas tenham sido praticadas no estrangeiro, caberá a perda civil dos bens,</w:t>
      </w:r>
      <w:r>
        <w:rPr>
          <w:rFonts w:ascii="Arial" w:hAnsi="Arial" w:cs="Arial"/>
          <w:lang w:eastAsia="en-US"/>
        </w:rPr>
        <w:t xml:space="preserve"> </w:t>
      </w:r>
      <w:r w:rsidRPr="00FA0F94">
        <w:rPr>
          <w:rFonts w:ascii="Arial" w:hAnsi="Arial" w:cs="Arial"/>
          <w:lang w:eastAsia="en-US"/>
        </w:rPr>
        <w:t>direitos ou valores situados no Brasil, nos termos do artigo 3º.</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Ainda com escopo de reduzir a margem de ação de tais organizações criminosas, no § 2º do artigo</w:t>
      </w:r>
      <w:r>
        <w:rPr>
          <w:rFonts w:ascii="Arial" w:hAnsi="Arial" w:cs="Arial"/>
          <w:lang w:eastAsia="en-US"/>
        </w:rPr>
        <w:t xml:space="preserve"> </w:t>
      </w:r>
      <w:r w:rsidRPr="00FA0F94">
        <w:rPr>
          <w:rFonts w:ascii="Arial" w:hAnsi="Arial" w:cs="Arial"/>
          <w:lang w:eastAsia="en-US"/>
        </w:rPr>
        <w:t>2º, abre-se a possibilidade de perda civil de bens transmitidos a terceiros por meio de herança,</w:t>
      </w:r>
      <w:r>
        <w:rPr>
          <w:rFonts w:ascii="Arial" w:hAnsi="Arial" w:cs="Arial"/>
          <w:lang w:eastAsia="en-US"/>
        </w:rPr>
        <w:t xml:space="preserve"> </w:t>
      </w:r>
      <w:r w:rsidRPr="00FA0F94">
        <w:rPr>
          <w:rFonts w:ascii="Arial" w:hAnsi="Arial" w:cs="Arial"/>
          <w:lang w:eastAsia="en-US"/>
        </w:rPr>
        <w:t>legado ou doação, tudo de forma a não permitir aos perpetradores do ilícito escamotear seus</w:t>
      </w:r>
      <w:r>
        <w:rPr>
          <w:rFonts w:ascii="Arial" w:hAnsi="Arial" w:cs="Arial"/>
          <w:lang w:eastAsia="en-US"/>
        </w:rPr>
        <w:t xml:space="preserve"> </w:t>
      </w:r>
      <w:r w:rsidRPr="00FA0F94">
        <w:rPr>
          <w:rFonts w:ascii="Arial" w:hAnsi="Arial" w:cs="Arial"/>
          <w:lang w:eastAsia="en-US"/>
        </w:rPr>
        <w:t>proveitos via transmissão de seu direito.</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De outro lado, preocupa-se o texto do anteprojeto de lei em garantir os direitos do lesado e do</w:t>
      </w:r>
      <w:r w:rsidR="006D1784">
        <w:rPr>
          <w:rFonts w:ascii="Arial" w:hAnsi="Arial" w:cs="Arial"/>
          <w:lang w:eastAsia="en-US"/>
        </w:rPr>
        <w:t xml:space="preserve"> </w:t>
      </w:r>
      <w:r w:rsidRPr="00FA0F94">
        <w:rPr>
          <w:rFonts w:ascii="Arial" w:hAnsi="Arial" w:cs="Arial"/>
          <w:lang w:eastAsia="en-US"/>
        </w:rPr>
        <w:t>terceiro de boa-fé, em consonância com as disposições do Código Civil que guindou a boa-fé ao</w:t>
      </w:r>
      <w:r w:rsidR="006D1784">
        <w:rPr>
          <w:rFonts w:ascii="Arial" w:hAnsi="Arial" w:cs="Arial"/>
          <w:lang w:eastAsia="en-US"/>
        </w:rPr>
        <w:t xml:space="preserve"> </w:t>
      </w:r>
      <w:r w:rsidRPr="00FA0F94">
        <w:rPr>
          <w:rFonts w:ascii="Arial" w:hAnsi="Arial" w:cs="Arial"/>
          <w:i/>
          <w:iCs/>
          <w:lang w:eastAsia="en-US"/>
        </w:rPr>
        <w:t xml:space="preserve">status </w:t>
      </w:r>
      <w:r w:rsidRPr="00FA0F94">
        <w:rPr>
          <w:rFonts w:ascii="Arial" w:hAnsi="Arial" w:cs="Arial"/>
          <w:lang w:eastAsia="en-US"/>
        </w:rPr>
        <w:t>de regra de interpretação (artigo 113) e princípio geral com relação aos contratos (artigo</w:t>
      </w:r>
      <w:r w:rsidR="006D1784">
        <w:rPr>
          <w:rFonts w:ascii="Arial" w:hAnsi="Arial" w:cs="Arial"/>
          <w:lang w:eastAsia="en-US"/>
        </w:rPr>
        <w:t xml:space="preserve"> </w:t>
      </w:r>
      <w:r w:rsidRPr="00FA0F94">
        <w:rPr>
          <w:rFonts w:ascii="Arial" w:hAnsi="Arial" w:cs="Arial"/>
          <w:lang w:eastAsia="en-US"/>
        </w:rPr>
        <w:t>422).</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 artigo 4º prevê que os legitimados – Ministério Público, União, Estados e Distrito Federal –</w:t>
      </w:r>
      <w:r w:rsidR="006D1784">
        <w:rPr>
          <w:rFonts w:ascii="Arial" w:hAnsi="Arial" w:cs="Arial"/>
          <w:lang w:eastAsia="en-US"/>
        </w:rPr>
        <w:t xml:space="preserve"> </w:t>
      </w:r>
      <w:r w:rsidRPr="00FA0F94">
        <w:rPr>
          <w:rFonts w:ascii="Arial" w:hAnsi="Arial" w:cs="Arial"/>
          <w:lang w:eastAsia="en-US"/>
        </w:rPr>
        <w:t>poderão instaurar procedimento preparatório ao ajuizamento da ação de declaração da perda civil</w:t>
      </w:r>
      <w:r w:rsidR="006D1784">
        <w:rPr>
          <w:rFonts w:ascii="Arial" w:hAnsi="Arial" w:cs="Arial"/>
          <w:lang w:eastAsia="en-US"/>
        </w:rPr>
        <w:t xml:space="preserve"> </w:t>
      </w:r>
      <w:r w:rsidRPr="00FA0F94">
        <w:rPr>
          <w:rFonts w:ascii="Arial" w:hAnsi="Arial" w:cs="Arial"/>
          <w:lang w:eastAsia="en-US"/>
        </w:rPr>
        <w:t>da propriedade ou posse em razão do descumprimento da sua função social.</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 contraditório e a ampla defesa estão e permanecem garantidos no anteprojeto de lei, o qual adota</w:t>
      </w:r>
      <w:r w:rsidR="006D1784">
        <w:rPr>
          <w:rFonts w:ascii="Arial" w:hAnsi="Arial" w:cs="Arial"/>
          <w:lang w:eastAsia="en-US"/>
        </w:rPr>
        <w:t xml:space="preserve"> </w:t>
      </w:r>
      <w:r w:rsidRPr="00FA0F94">
        <w:rPr>
          <w:rFonts w:ascii="Arial" w:hAnsi="Arial" w:cs="Arial"/>
          <w:lang w:eastAsia="en-US"/>
        </w:rPr>
        <w:t>para a ação de perda civil de bens o rito da ação civil pública, instituída pela Lei nº 7.347, de 24 de</w:t>
      </w:r>
      <w:r w:rsidR="006D1784">
        <w:rPr>
          <w:rFonts w:ascii="Arial" w:hAnsi="Arial" w:cs="Arial"/>
          <w:lang w:eastAsia="en-US"/>
        </w:rPr>
        <w:t xml:space="preserve"> </w:t>
      </w:r>
      <w:r w:rsidRPr="00FA0F94">
        <w:rPr>
          <w:rFonts w:ascii="Arial" w:hAnsi="Arial" w:cs="Arial"/>
          <w:lang w:eastAsia="en-US"/>
        </w:rPr>
        <w:t>julho de 1985, e, subsidiariamente, a Lei nº 5.869, de 11 de janeiro de 1973 – Código de Processo</w:t>
      </w:r>
      <w:r w:rsidR="006D1784">
        <w:rPr>
          <w:rFonts w:ascii="Arial" w:hAnsi="Arial" w:cs="Arial"/>
          <w:lang w:eastAsia="en-US"/>
        </w:rPr>
        <w:t xml:space="preserve"> </w:t>
      </w:r>
      <w:r w:rsidRPr="00FA0F94">
        <w:rPr>
          <w:rFonts w:ascii="Arial" w:hAnsi="Arial" w:cs="Arial"/>
          <w:lang w:eastAsia="en-US"/>
        </w:rPr>
        <w:t>Civil.</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 trâmite da ação de perda civil de bens independe de eventuais processos civis ou penais que</w:t>
      </w:r>
      <w:r w:rsidR="006D1784">
        <w:rPr>
          <w:rFonts w:ascii="Arial" w:hAnsi="Arial" w:cs="Arial"/>
          <w:lang w:eastAsia="en-US"/>
        </w:rPr>
        <w:t xml:space="preserve"> </w:t>
      </w:r>
      <w:r w:rsidRPr="00FA0F94">
        <w:rPr>
          <w:rFonts w:ascii="Arial" w:hAnsi="Arial" w:cs="Arial"/>
          <w:lang w:eastAsia="en-US"/>
        </w:rPr>
        <w:t>incidem sobre os mesmos fatos, eis que tais processos buscam a responsabilização pessoal por atos</w:t>
      </w:r>
      <w:r w:rsidR="006D1784">
        <w:rPr>
          <w:rFonts w:ascii="Arial" w:hAnsi="Arial" w:cs="Arial"/>
          <w:lang w:eastAsia="en-US"/>
        </w:rPr>
        <w:t xml:space="preserve"> </w:t>
      </w:r>
      <w:r w:rsidRPr="00FA0F94">
        <w:rPr>
          <w:rFonts w:ascii="Arial" w:hAnsi="Arial" w:cs="Arial"/>
          <w:lang w:eastAsia="en-US"/>
        </w:rPr>
        <w:t>ilícitos. Por óbvio, a independência de instâncias não se aplica quando houver sentença penal</w:t>
      </w:r>
      <w:r w:rsidR="006D1784">
        <w:rPr>
          <w:rFonts w:ascii="Arial" w:hAnsi="Arial" w:cs="Arial"/>
          <w:lang w:eastAsia="en-US"/>
        </w:rPr>
        <w:t xml:space="preserve"> </w:t>
      </w:r>
      <w:r w:rsidRPr="00FA0F94">
        <w:rPr>
          <w:rFonts w:ascii="Arial" w:hAnsi="Arial" w:cs="Arial"/>
          <w:lang w:eastAsia="en-US"/>
        </w:rPr>
        <w:t>absolutória que taxativamente reconheça a inexistência do fato ou não ter sido o agente, quando</w:t>
      </w:r>
      <w:r w:rsidR="006D1784">
        <w:rPr>
          <w:rFonts w:ascii="Arial" w:hAnsi="Arial" w:cs="Arial"/>
          <w:lang w:eastAsia="en-US"/>
        </w:rPr>
        <w:t xml:space="preserve"> </w:t>
      </w:r>
      <w:r w:rsidRPr="00FA0F94">
        <w:rPr>
          <w:rFonts w:ascii="Arial" w:hAnsi="Arial" w:cs="Arial"/>
          <w:lang w:eastAsia="en-US"/>
        </w:rPr>
        <w:t>proprietário do bem, o seu autor.</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A perda civil da propriedade ou posse abrange também situações em que a persecução penal ou</w:t>
      </w:r>
      <w:r w:rsidR="006D1784">
        <w:rPr>
          <w:rFonts w:ascii="Arial" w:hAnsi="Arial" w:cs="Arial"/>
          <w:lang w:eastAsia="en-US"/>
        </w:rPr>
        <w:t xml:space="preserve"> </w:t>
      </w:r>
      <w:r w:rsidRPr="00FA0F94">
        <w:rPr>
          <w:rFonts w:ascii="Arial" w:hAnsi="Arial" w:cs="Arial"/>
          <w:lang w:eastAsia="en-US"/>
        </w:rPr>
        <w:t>civil não se faz possível, por ausência ou desconhecimento do responsável, ou ainda por falta de</w:t>
      </w:r>
      <w:r w:rsidR="006D1784">
        <w:rPr>
          <w:rFonts w:ascii="Arial" w:hAnsi="Arial" w:cs="Arial"/>
          <w:lang w:eastAsia="en-US"/>
        </w:rPr>
        <w:t xml:space="preserve"> </w:t>
      </w:r>
      <w:r w:rsidRPr="00FA0F94">
        <w:rPr>
          <w:rFonts w:ascii="Arial" w:hAnsi="Arial" w:cs="Arial"/>
          <w:lang w:eastAsia="en-US"/>
        </w:rPr>
        <w:t>definição precisa da responsabilidade civil ou penal, o que não impede, contudo, que provas</w:t>
      </w:r>
      <w:r w:rsidR="006D1784">
        <w:rPr>
          <w:rFonts w:ascii="Arial" w:hAnsi="Arial" w:cs="Arial"/>
          <w:lang w:eastAsia="en-US"/>
        </w:rPr>
        <w:t xml:space="preserve"> </w:t>
      </w:r>
      <w:r w:rsidRPr="00FA0F94">
        <w:rPr>
          <w:rFonts w:ascii="Arial" w:hAnsi="Arial" w:cs="Arial"/>
          <w:lang w:eastAsia="en-US"/>
        </w:rPr>
        <w:t>suficientes existam da origem ilícita dos bens e direitos.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Os artigos 8º e 9º fixam como legitimados passivos para a ação de perda civil de propriedade ou</w:t>
      </w:r>
      <w:r w:rsidR="006D1784">
        <w:rPr>
          <w:rFonts w:ascii="Arial" w:hAnsi="Arial" w:cs="Arial"/>
          <w:lang w:eastAsia="en-US"/>
        </w:rPr>
        <w:t xml:space="preserve"> </w:t>
      </w:r>
      <w:r w:rsidRPr="00FA0F94">
        <w:rPr>
          <w:rFonts w:ascii="Arial" w:hAnsi="Arial" w:cs="Arial"/>
          <w:lang w:eastAsia="en-US"/>
        </w:rPr>
        <w:t>posse os titulares ou possuidores dos bens adquiridos, originários ou envolvidos com atividades</w:t>
      </w:r>
      <w:r w:rsidR="006D1784">
        <w:rPr>
          <w:rFonts w:ascii="Arial" w:hAnsi="Arial" w:cs="Arial"/>
          <w:lang w:eastAsia="en-US"/>
        </w:rPr>
        <w:t xml:space="preserve"> </w:t>
      </w:r>
      <w:r w:rsidRPr="00FA0F94">
        <w:rPr>
          <w:rFonts w:ascii="Arial" w:hAnsi="Arial" w:cs="Arial"/>
          <w:lang w:eastAsia="en-US"/>
        </w:rPr>
        <w:t xml:space="preserve">ilícitas. Trata-se, portanto, de ação </w:t>
      </w:r>
      <w:proofErr w:type="spellStart"/>
      <w:r w:rsidRPr="00FA0F94">
        <w:rPr>
          <w:rFonts w:ascii="Arial" w:hAnsi="Arial" w:cs="Arial"/>
          <w:i/>
          <w:iCs/>
          <w:lang w:eastAsia="en-US"/>
        </w:rPr>
        <w:t>propter</w:t>
      </w:r>
      <w:proofErr w:type="spellEnd"/>
      <w:r w:rsidRPr="00FA0F94">
        <w:rPr>
          <w:rFonts w:ascii="Arial" w:hAnsi="Arial" w:cs="Arial"/>
          <w:i/>
          <w:iCs/>
          <w:lang w:eastAsia="en-US"/>
        </w:rPr>
        <w:t xml:space="preserve"> rem.</w:t>
      </w:r>
      <w:r w:rsidR="006D1784">
        <w:rPr>
          <w:rFonts w:ascii="Arial" w:hAnsi="Arial" w:cs="Arial"/>
          <w:i/>
          <w:iCs/>
          <w:lang w:eastAsia="en-US"/>
        </w:rPr>
        <w:t xml:space="preserve"> </w:t>
      </w:r>
      <w:r w:rsidRPr="00FA0F94">
        <w:rPr>
          <w:rFonts w:ascii="Arial" w:hAnsi="Arial" w:cs="Arial"/>
          <w:lang w:eastAsia="en-US"/>
        </w:rPr>
        <w:t>Está estabelecido ainda que a ação poderá ser intentada contra réu incerto, se desconhecido</w:t>
      </w:r>
      <w:r w:rsidR="006D1784">
        <w:rPr>
          <w:rFonts w:ascii="Arial" w:hAnsi="Arial" w:cs="Arial"/>
          <w:lang w:eastAsia="en-US"/>
        </w:rPr>
        <w:t xml:space="preserve"> </w:t>
      </w:r>
      <w:r w:rsidRPr="00FA0F94">
        <w:rPr>
          <w:rFonts w:ascii="Arial" w:hAnsi="Arial" w:cs="Arial"/>
          <w:lang w:eastAsia="en-US"/>
        </w:rPr>
        <w:t xml:space="preserve">proprietário ou possuidor, caso em que serão </w:t>
      </w:r>
      <w:r w:rsidRPr="00FA0F94">
        <w:rPr>
          <w:rFonts w:ascii="Arial" w:hAnsi="Arial" w:cs="Arial"/>
          <w:lang w:eastAsia="en-US"/>
        </w:rPr>
        <w:lastRenderedPageBreak/>
        <w:t>citados por edital os interessados, com descrição dos</w:t>
      </w:r>
      <w:r w:rsidR="006D1784">
        <w:rPr>
          <w:rFonts w:ascii="Arial" w:hAnsi="Arial" w:cs="Arial"/>
          <w:lang w:eastAsia="en-US"/>
        </w:rPr>
        <w:t xml:space="preserve"> </w:t>
      </w:r>
      <w:r w:rsidRPr="00FA0F94">
        <w:rPr>
          <w:rFonts w:ascii="Arial" w:hAnsi="Arial" w:cs="Arial"/>
          <w:lang w:eastAsia="en-US"/>
        </w:rPr>
        <w:t>bens, e nomeado pelo juiz curador para defender e proteger os interesses dos réus não conhecidos.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A qualquer tempo em que surja o titular ou possuidor, poderá ingressar no feito, recebendo-o na</w:t>
      </w:r>
      <w:r w:rsidR="006D1784">
        <w:rPr>
          <w:rFonts w:ascii="Arial" w:hAnsi="Arial" w:cs="Arial"/>
          <w:lang w:eastAsia="en-US"/>
        </w:rPr>
        <w:t xml:space="preserve"> </w:t>
      </w:r>
      <w:r w:rsidRPr="00FA0F94">
        <w:rPr>
          <w:rFonts w:ascii="Arial" w:hAnsi="Arial" w:cs="Arial"/>
          <w:lang w:eastAsia="en-US"/>
        </w:rPr>
        <w:t>fase e estado em que se encontra, de forma também coerente com a legislação civilista.</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 artigo 10 define como competente, primariamente, o foro do local do fato ilícito ou dano,</w:t>
      </w:r>
      <w:r w:rsidR="006D1784">
        <w:rPr>
          <w:rFonts w:ascii="Arial" w:hAnsi="Arial" w:cs="Arial"/>
          <w:lang w:eastAsia="en-US"/>
        </w:rPr>
        <w:t xml:space="preserve"> </w:t>
      </w:r>
      <w:r w:rsidRPr="00FA0F94">
        <w:rPr>
          <w:rFonts w:ascii="Arial" w:hAnsi="Arial" w:cs="Arial"/>
          <w:lang w:eastAsia="en-US"/>
        </w:rPr>
        <w:t>porquanto recomendável que o processo tramite no juízo que detenha jurisdição no território em</w:t>
      </w:r>
      <w:r w:rsidR="006D1784">
        <w:rPr>
          <w:rFonts w:ascii="Arial" w:hAnsi="Arial" w:cs="Arial"/>
          <w:lang w:eastAsia="en-US"/>
        </w:rPr>
        <w:t xml:space="preserve"> </w:t>
      </w:r>
      <w:r w:rsidRPr="00FA0F94">
        <w:rPr>
          <w:rFonts w:ascii="Arial" w:hAnsi="Arial" w:cs="Arial"/>
          <w:lang w:eastAsia="en-US"/>
        </w:rPr>
        <w:t>que ocorrido o originário ilícito ou dano, mais próximo que está da prova a ser analisada e dos</w:t>
      </w:r>
      <w:r w:rsidR="006D1784">
        <w:rPr>
          <w:rFonts w:ascii="Arial" w:hAnsi="Arial" w:cs="Arial"/>
          <w:lang w:eastAsia="en-US"/>
        </w:rPr>
        <w:t xml:space="preserve"> </w:t>
      </w:r>
      <w:r w:rsidRPr="00FA0F94">
        <w:rPr>
          <w:rFonts w:ascii="Arial" w:hAnsi="Arial" w:cs="Arial"/>
          <w:lang w:eastAsia="en-US"/>
        </w:rPr>
        <w:t>fatos.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Não sendo conhecido, eventualmente, o local do ilícito, poderão ser eleitos, alternativamente, o</w:t>
      </w:r>
      <w:r w:rsidR="006D1784">
        <w:rPr>
          <w:rFonts w:ascii="Arial" w:hAnsi="Arial" w:cs="Arial"/>
          <w:lang w:eastAsia="en-US"/>
        </w:rPr>
        <w:t xml:space="preserve"> </w:t>
      </w:r>
      <w:r w:rsidRPr="00FA0F94">
        <w:rPr>
          <w:rFonts w:ascii="Arial" w:hAnsi="Arial" w:cs="Arial"/>
          <w:lang w:eastAsia="en-US"/>
        </w:rPr>
        <w:t>foro de situação dos bens ou aquele de domicílio do réu, ambas as alternativas igualmente</w:t>
      </w:r>
      <w:r w:rsidR="006D1784">
        <w:rPr>
          <w:rFonts w:ascii="Arial" w:hAnsi="Arial" w:cs="Arial"/>
          <w:lang w:eastAsia="en-US"/>
        </w:rPr>
        <w:t xml:space="preserve"> </w:t>
      </w:r>
      <w:r w:rsidRPr="00FA0F94">
        <w:rPr>
          <w:rFonts w:ascii="Arial" w:hAnsi="Arial" w:cs="Arial"/>
          <w:lang w:eastAsia="en-US"/>
        </w:rPr>
        <w:t>justificáveis e coerentes com a legislação civil.</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 artigo 11 prevê que o poder de cautela do juiz pode ser utilizado, a qualquer tempo, para</w:t>
      </w:r>
      <w:r w:rsidR="006D1784">
        <w:rPr>
          <w:rFonts w:ascii="Arial" w:hAnsi="Arial" w:cs="Arial"/>
          <w:lang w:eastAsia="en-US"/>
        </w:rPr>
        <w:t xml:space="preserve"> </w:t>
      </w:r>
      <w:r w:rsidRPr="00FA0F94">
        <w:rPr>
          <w:rFonts w:ascii="Arial" w:hAnsi="Arial" w:cs="Arial"/>
          <w:lang w:eastAsia="en-US"/>
        </w:rPr>
        <w:t>concessão de quaisquer medidas de urgência que se mostrem necessárias para garantir a eficácia do</w:t>
      </w:r>
      <w:r w:rsidR="006D1784">
        <w:rPr>
          <w:rFonts w:ascii="Arial" w:hAnsi="Arial" w:cs="Arial"/>
          <w:lang w:eastAsia="en-US"/>
        </w:rPr>
        <w:t xml:space="preserve"> </w:t>
      </w:r>
      <w:r w:rsidRPr="00FA0F94">
        <w:rPr>
          <w:rFonts w:ascii="Arial" w:hAnsi="Arial" w:cs="Arial"/>
          <w:lang w:eastAsia="en-US"/>
        </w:rPr>
        <w:t>provimento final.</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 § 1º do artigo 11 fixa o prazo de 60 (sessenta) dias – prorrogável por igual período, desde que</w:t>
      </w:r>
      <w:r w:rsidR="006D1784">
        <w:rPr>
          <w:rFonts w:ascii="Arial" w:hAnsi="Arial" w:cs="Arial"/>
          <w:lang w:eastAsia="en-US"/>
        </w:rPr>
        <w:t xml:space="preserve"> </w:t>
      </w:r>
      <w:r w:rsidRPr="00FA0F94">
        <w:rPr>
          <w:rFonts w:ascii="Arial" w:hAnsi="Arial" w:cs="Arial"/>
          <w:lang w:eastAsia="en-US"/>
        </w:rPr>
        <w:t>fundamentadamente justificado ao juiz da causa – para vigência de medidas preparatórias. Este</w:t>
      </w:r>
      <w:r w:rsidR="006D1784">
        <w:rPr>
          <w:rFonts w:ascii="Arial" w:hAnsi="Arial" w:cs="Arial"/>
          <w:lang w:eastAsia="en-US"/>
        </w:rPr>
        <w:t xml:space="preserve"> </w:t>
      </w:r>
      <w:r w:rsidRPr="00FA0F94">
        <w:rPr>
          <w:rFonts w:ascii="Arial" w:hAnsi="Arial" w:cs="Arial"/>
          <w:lang w:eastAsia="en-US"/>
        </w:rPr>
        <w:t>rigor garante os direitos individuais, ao tempo em que exigirá do Estado cautela e disciplina</w:t>
      </w:r>
      <w:r w:rsidR="006D1784">
        <w:rPr>
          <w:rFonts w:ascii="Arial" w:hAnsi="Arial" w:cs="Arial"/>
          <w:lang w:eastAsia="en-US"/>
        </w:rPr>
        <w:t xml:space="preserve"> </w:t>
      </w:r>
      <w:r w:rsidRPr="00FA0F94">
        <w:rPr>
          <w:rFonts w:ascii="Arial" w:hAnsi="Arial" w:cs="Arial"/>
          <w:lang w:eastAsia="en-US"/>
        </w:rPr>
        <w:t>extremadas na iniciativa e no próprio pedido de medidas cautelares quaisquer.</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Rezam os §§ 3º e 4º do artigo 11 que, realizada a apreensão do bem, o processo judicial passará a</w:t>
      </w:r>
      <w:r w:rsidR="006D1784">
        <w:rPr>
          <w:rFonts w:ascii="Arial" w:hAnsi="Arial" w:cs="Arial"/>
          <w:lang w:eastAsia="en-US"/>
        </w:rPr>
        <w:t xml:space="preserve"> </w:t>
      </w:r>
      <w:r w:rsidRPr="00FA0F94">
        <w:rPr>
          <w:rFonts w:ascii="Arial" w:hAnsi="Arial" w:cs="Arial"/>
          <w:lang w:eastAsia="en-US"/>
        </w:rPr>
        <w:t>ter prioridade na tramitação, devendo o juiz deliberar, de imediato, sobre sua alienação antecipada</w:t>
      </w:r>
      <w:r w:rsidR="006D1784">
        <w:rPr>
          <w:rFonts w:ascii="Arial" w:hAnsi="Arial" w:cs="Arial"/>
          <w:lang w:eastAsia="en-US"/>
        </w:rPr>
        <w:t xml:space="preserve"> </w:t>
      </w:r>
      <w:r w:rsidRPr="00FA0F94">
        <w:rPr>
          <w:rFonts w:ascii="Arial" w:hAnsi="Arial" w:cs="Arial"/>
          <w:lang w:eastAsia="en-US"/>
        </w:rPr>
        <w:t>ou sobre nomeação de administrador.</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Tais linhas de conduta visam garantir a tramitação célere, a eficácia da medida final e a garantia</w:t>
      </w:r>
      <w:r w:rsidR="006D1784">
        <w:rPr>
          <w:rFonts w:ascii="Arial" w:hAnsi="Arial" w:cs="Arial"/>
          <w:lang w:eastAsia="en-US"/>
        </w:rPr>
        <w:t xml:space="preserve"> </w:t>
      </w:r>
      <w:r w:rsidRPr="00FA0F94">
        <w:rPr>
          <w:rFonts w:ascii="Arial" w:hAnsi="Arial" w:cs="Arial"/>
          <w:lang w:eastAsia="en-US"/>
        </w:rPr>
        <w:t>dos réus, pois proporcionam a manutenção do valor real do bem, desde sua constrição.</w:t>
      </w:r>
      <w:r w:rsidR="006D1784">
        <w:rPr>
          <w:rFonts w:ascii="Arial" w:hAnsi="Arial" w:cs="Arial"/>
          <w:lang w:eastAsia="en-US"/>
        </w:rPr>
        <w:t xml:space="preserve"> </w:t>
      </w:r>
      <w:r w:rsidRPr="00FA0F94">
        <w:rPr>
          <w:rFonts w:ascii="Arial" w:hAnsi="Arial" w:cs="Arial"/>
          <w:lang w:eastAsia="en-US"/>
        </w:rPr>
        <w:t>O anteprojeto de lei prevê que a alienação antecipada será realizada por meio de leilão, não sendo</w:t>
      </w:r>
      <w:r w:rsidR="006D1784">
        <w:rPr>
          <w:rFonts w:ascii="Arial" w:hAnsi="Arial" w:cs="Arial"/>
          <w:lang w:eastAsia="en-US"/>
        </w:rPr>
        <w:t xml:space="preserve"> </w:t>
      </w:r>
      <w:r w:rsidRPr="00FA0F94">
        <w:rPr>
          <w:rFonts w:ascii="Arial" w:hAnsi="Arial" w:cs="Arial"/>
          <w:lang w:eastAsia="en-US"/>
        </w:rPr>
        <w:t>admitido preço vil, ficando o depósito dos valores em contas remuneradas vinculadas ao juízo.</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 xml:space="preserve">O artigo 15 dispõe em seu </w:t>
      </w:r>
      <w:r w:rsidRPr="00FA0F94">
        <w:rPr>
          <w:rFonts w:ascii="Arial" w:hAnsi="Arial" w:cs="Arial"/>
          <w:i/>
          <w:iCs/>
          <w:lang w:eastAsia="en-US"/>
        </w:rPr>
        <w:t xml:space="preserve">caput </w:t>
      </w:r>
      <w:r w:rsidRPr="00FA0F94">
        <w:rPr>
          <w:rFonts w:ascii="Arial" w:hAnsi="Arial" w:cs="Arial"/>
          <w:lang w:eastAsia="en-US"/>
        </w:rPr>
        <w:t>a consequência lógica de que, julgado procedente o processo,</w:t>
      </w:r>
      <w:r w:rsidR="006D1784">
        <w:rPr>
          <w:rFonts w:ascii="Arial" w:hAnsi="Arial" w:cs="Arial"/>
          <w:lang w:eastAsia="en-US"/>
        </w:rPr>
        <w:t xml:space="preserve"> </w:t>
      </w:r>
      <w:r w:rsidRPr="00FA0F94">
        <w:rPr>
          <w:rFonts w:ascii="Arial" w:hAnsi="Arial" w:cs="Arial"/>
          <w:lang w:eastAsia="en-US"/>
        </w:rPr>
        <w:t>determinará o juiz as medidas necessárias para transferência definitiva dos bens, direitos e valores</w:t>
      </w:r>
      <w:r w:rsidR="006D1784">
        <w:rPr>
          <w:rFonts w:ascii="Arial" w:hAnsi="Arial" w:cs="Arial"/>
          <w:lang w:eastAsia="en-US"/>
        </w:rPr>
        <w:t xml:space="preserve"> </w:t>
      </w:r>
      <w:r w:rsidRPr="00FA0F94">
        <w:rPr>
          <w:rFonts w:ascii="Arial" w:hAnsi="Arial" w:cs="Arial"/>
          <w:lang w:eastAsia="en-US"/>
        </w:rPr>
        <w:t>discutidos.</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Ao mesmo tempo, o parágrafo único dispõe que a sentença pela improcedência por eventual</w:t>
      </w:r>
      <w:r w:rsidR="006D1784">
        <w:rPr>
          <w:rFonts w:ascii="Arial" w:hAnsi="Arial" w:cs="Arial"/>
          <w:lang w:eastAsia="en-US"/>
        </w:rPr>
        <w:t xml:space="preserve"> </w:t>
      </w:r>
      <w:r w:rsidRPr="00FA0F94">
        <w:rPr>
          <w:rFonts w:ascii="Arial" w:hAnsi="Arial" w:cs="Arial"/>
          <w:lang w:eastAsia="en-US"/>
        </w:rPr>
        <w:t>insuficiência de provas não faz coisa julgada material, podendo qualquer dos legitimados propor</w:t>
      </w:r>
      <w:r w:rsidR="006D1784">
        <w:rPr>
          <w:rFonts w:ascii="Arial" w:hAnsi="Arial" w:cs="Arial"/>
          <w:lang w:eastAsia="en-US"/>
        </w:rPr>
        <w:t xml:space="preserve"> </w:t>
      </w:r>
      <w:r w:rsidRPr="00FA0F94">
        <w:rPr>
          <w:rFonts w:ascii="Arial" w:hAnsi="Arial" w:cs="Arial"/>
          <w:lang w:eastAsia="en-US"/>
        </w:rPr>
        <w:t>nova ação com o mesmo objetivo, desde que lastreada em nova prova.</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 xml:space="preserve">A redação dada ao </w:t>
      </w:r>
      <w:r w:rsidRPr="00FA0F94">
        <w:rPr>
          <w:rFonts w:ascii="Arial" w:hAnsi="Arial" w:cs="Arial"/>
          <w:i/>
          <w:iCs/>
          <w:lang w:eastAsia="en-US"/>
        </w:rPr>
        <w:t xml:space="preserve">caput </w:t>
      </w:r>
      <w:r w:rsidRPr="00FA0F94">
        <w:rPr>
          <w:rFonts w:ascii="Arial" w:hAnsi="Arial" w:cs="Arial"/>
          <w:lang w:eastAsia="en-US"/>
        </w:rPr>
        <w:t>do artigo 16 denota o interesse público subjacente à perda civil da</w:t>
      </w:r>
      <w:r w:rsidR="006D1784">
        <w:rPr>
          <w:rFonts w:ascii="Arial" w:hAnsi="Arial" w:cs="Arial"/>
          <w:lang w:eastAsia="en-US"/>
        </w:rPr>
        <w:t xml:space="preserve"> </w:t>
      </w:r>
      <w:r w:rsidRPr="00FA0F94">
        <w:rPr>
          <w:rFonts w:ascii="Arial" w:hAnsi="Arial" w:cs="Arial"/>
          <w:lang w:eastAsia="en-US"/>
        </w:rPr>
        <w:t>propriedade ou posse, de modo que se optou por dispensar os legitimados do adiantamento de</w:t>
      </w:r>
      <w:r w:rsidR="006D1784">
        <w:rPr>
          <w:rFonts w:ascii="Arial" w:hAnsi="Arial" w:cs="Arial"/>
          <w:lang w:eastAsia="en-US"/>
        </w:rPr>
        <w:t xml:space="preserve"> </w:t>
      </w:r>
      <w:r w:rsidRPr="00FA0F94">
        <w:rPr>
          <w:rFonts w:ascii="Arial" w:hAnsi="Arial" w:cs="Arial"/>
          <w:lang w:eastAsia="en-US"/>
        </w:rPr>
        <w:t xml:space="preserve">custas, emolumentos, honorários periciais, </w:t>
      </w:r>
      <w:r w:rsidRPr="00FA0F94">
        <w:rPr>
          <w:rFonts w:ascii="Arial" w:hAnsi="Arial" w:cs="Arial"/>
          <w:lang w:eastAsia="en-US"/>
        </w:rPr>
        <w:lastRenderedPageBreak/>
        <w:t>honorários sucumbenciais e demais despesas, salvo</w:t>
      </w:r>
      <w:r w:rsidR="006D1784">
        <w:rPr>
          <w:rFonts w:ascii="Arial" w:hAnsi="Arial" w:cs="Arial"/>
          <w:lang w:eastAsia="en-US"/>
        </w:rPr>
        <w:t xml:space="preserve"> </w:t>
      </w:r>
      <w:r w:rsidRPr="00FA0F94">
        <w:rPr>
          <w:rFonts w:ascii="Arial" w:hAnsi="Arial" w:cs="Arial"/>
          <w:lang w:eastAsia="en-US"/>
        </w:rPr>
        <w:t>comprovada má-fé do autor.</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Os parágrafos do artigo 16 especificaram essa regra, determinando a preferência de se realizar</w:t>
      </w:r>
      <w:r w:rsidR="006D1784">
        <w:rPr>
          <w:rFonts w:ascii="Arial" w:hAnsi="Arial" w:cs="Arial"/>
          <w:lang w:eastAsia="en-US"/>
        </w:rPr>
        <w:t xml:space="preserve"> </w:t>
      </w:r>
      <w:r w:rsidRPr="00FA0F94">
        <w:rPr>
          <w:rFonts w:ascii="Arial" w:hAnsi="Arial" w:cs="Arial"/>
          <w:lang w:eastAsia="en-US"/>
        </w:rPr>
        <w:t>perícias por meio de peritos integrantes do quadro da Administração Pública.</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Excepcionalmente, as perícias serão realizadas por profissionais estranhos à Administração</w:t>
      </w:r>
      <w:r w:rsidR="006D1784">
        <w:rPr>
          <w:rFonts w:ascii="Arial" w:hAnsi="Arial" w:cs="Arial"/>
          <w:lang w:eastAsia="en-US"/>
        </w:rPr>
        <w:t xml:space="preserve"> </w:t>
      </w:r>
      <w:r w:rsidRPr="00FA0F94">
        <w:rPr>
          <w:rFonts w:ascii="Arial" w:hAnsi="Arial" w:cs="Arial"/>
          <w:lang w:eastAsia="en-US"/>
        </w:rPr>
        <w:t>Pública, caso em que as despesas periciais serão adiantadas pelos entes públicos, já que serão estes,</w:t>
      </w:r>
      <w:r w:rsidR="006D1784">
        <w:rPr>
          <w:rFonts w:ascii="Arial" w:hAnsi="Arial" w:cs="Arial"/>
          <w:lang w:eastAsia="en-US"/>
        </w:rPr>
        <w:t xml:space="preserve"> </w:t>
      </w:r>
      <w:r w:rsidRPr="00FA0F94">
        <w:rPr>
          <w:rFonts w:ascii="Arial" w:hAnsi="Arial" w:cs="Arial"/>
          <w:lang w:eastAsia="en-US"/>
        </w:rPr>
        <w:t>em caso de procedência do pedido, os beneficiários ao final do processo. Tais despesas serão pagas</w:t>
      </w:r>
      <w:r w:rsidR="006D1784">
        <w:rPr>
          <w:rFonts w:ascii="Arial" w:hAnsi="Arial" w:cs="Arial"/>
          <w:lang w:eastAsia="en-US"/>
        </w:rPr>
        <w:t xml:space="preserve"> </w:t>
      </w:r>
      <w:r w:rsidRPr="00FA0F94">
        <w:rPr>
          <w:rFonts w:ascii="Arial" w:hAnsi="Arial" w:cs="Arial"/>
          <w:lang w:eastAsia="en-US"/>
        </w:rPr>
        <w:t>pelo réu sucumbente.</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O art. 18 introduz salutar regra de recompensa ao terceiro desvinculado de qualquer delito correlato</w:t>
      </w:r>
      <w:r w:rsidR="006D1784">
        <w:rPr>
          <w:rFonts w:ascii="Arial" w:hAnsi="Arial" w:cs="Arial"/>
          <w:lang w:eastAsia="en-US"/>
        </w:rPr>
        <w:t xml:space="preserve"> </w:t>
      </w:r>
      <w:r w:rsidRPr="00FA0F94">
        <w:rPr>
          <w:rFonts w:ascii="Arial" w:hAnsi="Arial" w:cs="Arial"/>
          <w:lang w:eastAsia="en-US"/>
        </w:rPr>
        <w:t>que contribua de modo eficaz, preste informações que levem a obtenção de provas que possam</w:t>
      </w:r>
      <w:r w:rsidR="006D1784">
        <w:rPr>
          <w:rFonts w:ascii="Arial" w:hAnsi="Arial" w:cs="Arial"/>
          <w:lang w:eastAsia="en-US"/>
        </w:rPr>
        <w:t xml:space="preserve"> </w:t>
      </w:r>
      <w:r w:rsidRPr="00FA0F94">
        <w:rPr>
          <w:rFonts w:ascii="Arial" w:hAnsi="Arial" w:cs="Arial"/>
          <w:lang w:eastAsia="en-US"/>
        </w:rPr>
        <w:t>instruir a ação declaratória de perda civil ou a localização de bens. Com isso, fará jus a até cinco</w:t>
      </w:r>
      <w:r w:rsidR="006D1784">
        <w:rPr>
          <w:rFonts w:ascii="Arial" w:hAnsi="Arial" w:cs="Arial"/>
          <w:lang w:eastAsia="en-US"/>
        </w:rPr>
        <w:t xml:space="preserve"> </w:t>
      </w:r>
      <w:r w:rsidRPr="00FA0F94">
        <w:rPr>
          <w:rFonts w:ascii="Arial" w:hAnsi="Arial" w:cs="Arial"/>
          <w:lang w:eastAsia="en-US"/>
        </w:rPr>
        <w:t>por cento do produto da liquidação dos bens objeto da perda civil.</w:t>
      </w:r>
    </w:p>
    <w:p w:rsidR="00FA0F94" w:rsidRPr="00FA0F94" w:rsidRDefault="00FA0F94" w:rsidP="006D1784">
      <w:pPr>
        <w:autoSpaceDE w:val="0"/>
        <w:autoSpaceDN w:val="0"/>
        <w:adjustRightInd w:val="0"/>
        <w:spacing w:after="0" w:line="360" w:lineRule="auto"/>
        <w:ind w:left="709" w:firstLine="284"/>
        <w:jc w:val="both"/>
        <w:rPr>
          <w:rFonts w:ascii="Arial" w:hAnsi="Arial" w:cs="Arial"/>
          <w:lang w:eastAsia="en-US"/>
        </w:rPr>
      </w:pPr>
      <w:r w:rsidRPr="00FA0F94">
        <w:rPr>
          <w:rFonts w:ascii="Arial" w:hAnsi="Arial" w:cs="Arial"/>
          <w:lang w:eastAsia="en-US"/>
        </w:rPr>
        <w:t>Por fim, o anteprojeto de lei vai ao encontro da postura institucional da República Federativa do</w:t>
      </w:r>
      <w:r w:rsidR="006D1784">
        <w:rPr>
          <w:rFonts w:ascii="Arial" w:hAnsi="Arial" w:cs="Arial"/>
          <w:lang w:eastAsia="en-US"/>
        </w:rPr>
        <w:t xml:space="preserve"> </w:t>
      </w:r>
      <w:r w:rsidRPr="00FA0F94">
        <w:rPr>
          <w:rFonts w:ascii="Arial" w:hAnsi="Arial" w:cs="Arial"/>
          <w:lang w:eastAsia="en-US"/>
        </w:rPr>
        <w:t>Brasil, que sempre se posicionou, na arena internacional, pela repressão aos crimes praticados por</w:t>
      </w:r>
      <w:r w:rsidR="006D1784">
        <w:rPr>
          <w:rFonts w:ascii="Arial" w:hAnsi="Arial" w:cs="Arial"/>
          <w:lang w:eastAsia="en-US"/>
        </w:rPr>
        <w:t xml:space="preserve"> </w:t>
      </w:r>
      <w:r w:rsidRPr="00FA0F94">
        <w:rPr>
          <w:rFonts w:ascii="Arial" w:hAnsi="Arial" w:cs="Arial"/>
          <w:lang w:eastAsia="en-US"/>
        </w:rPr>
        <w:t xml:space="preserve">organizações criminosas e pela adoção do consenso fruto das negociações </w:t>
      </w:r>
      <w:proofErr w:type="gramStart"/>
      <w:r w:rsidRPr="00FA0F94">
        <w:rPr>
          <w:rFonts w:ascii="Arial" w:hAnsi="Arial" w:cs="Arial"/>
          <w:lang w:eastAsia="en-US"/>
        </w:rPr>
        <w:t>multilaterais.</w:t>
      </w:r>
      <w:r w:rsidR="006D1784">
        <w:rPr>
          <w:rFonts w:ascii="Arial" w:hAnsi="Arial" w:cs="Arial"/>
          <w:lang w:eastAsia="en-US"/>
        </w:rPr>
        <w:t>”</w:t>
      </w:r>
      <w:proofErr w:type="gramEnd"/>
    </w:p>
    <w:p w:rsidR="00375E32" w:rsidRDefault="00375E32" w:rsidP="00FA0F94">
      <w:pPr>
        <w:autoSpaceDE w:val="0"/>
        <w:autoSpaceDN w:val="0"/>
        <w:adjustRightInd w:val="0"/>
        <w:spacing w:after="0" w:line="360" w:lineRule="auto"/>
        <w:ind w:firstLine="709"/>
        <w:jc w:val="both"/>
        <w:rPr>
          <w:rFonts w:ascii="Arial" w:hAnsi="Arial" w:cs="Arial"/>
          <w:sz w:val="24"/>
          <w:szCs w:val="24"/>
        </w:rPr>
      </w:pPr>
    </w:p>
    <w:p w:rsidR="00FA0F94" w:rsidRPr="006F63BE" w:rsidRDefault="00FA0F94" w:rsidP="00FA0F94">
      <w:pPr>
        <w:autoSpaceDE w:val="0"/>
        <w:autoSpaceDN w:val="0"/>
        <w:adjustRightInd w:val="0"/>
        <w:spacing w:after="0" w:line="360" w:lineRule="auto"/>
        <w:ind w:firstLine="709"/>
        <w:jc w:val="both"/>
        <w:rPr>
          <w:rFonts w:ascii="Arial" w:hAnsi="Arial" w:cs="Arial"/>
          <w:sz w:val="24"/>
          <w:szCs w:val="24"/>
          <w:lang w:eastAsia="en-US"/>
        </w:rPr>
      </w:pPr>
      <w:r w:rsidRPr="00D0235D">
        <w:rPr>
          <w:rFonts w:ascii="Arial" w:hAnsi="Arial" w:cs="Arial"/>
          <w:sz w:val="24"/>
          <w:szCs w:val="24"/>
        </w:rPr>
        <w:t xml:space="preserve">Ante o exposto, é de suma importância a aprovação deste projeto, razão pela qual contamos com o apoio dos nobres pares. </w:t>
      </w:r>
    </w:p>
    <w:p w:rsidR="00FA0F94" w:rsidRPr="00D67EB1" w:rsidRDefault="00FA0F94" w:rsidP="00FA0F94">
      <w:pPr>
        <w:widowControl w:val="0"/>
        <w:autoSpaceDE w:val="0"/>
        <w:autoSpaceDN w:val="0"/>
        <w:adjustRightInd w:val="0"/>
        <w:spacing w:line="360" w:lineRule="auto"/>
        <w:ind w:firstLine="709"/>
        <w:jc w:val="both"/>
        <w:rPr>
          <w:rFonts w:ascii="Arial" w:hAnsi="Arial" w:cs="Arial"/>
          <w:sz w:val="24"/>
          <w:szCs w:val="24"/>
        </w:rPr>
      </w:pPr>
    </w:p>
    <w:p w:rsidR="00FA0F94" w:rsidRPr="00D67EB1" w:rsidRDefault="00375E32" w:rsidP="00FA0F94">
      <w:pPr>
        <w:widowControl w:val="0"/>
        <w:autoSpaceDE w:val="0"/>
        <w:autoSpaceDN w:val="0"/>
        <w:adjustRightInd w:val="0"/>
        <w:spacing w:line="360" w:lineRule="auto"/>
        <w:ind w:firstLine="709"/>
        <w:jc w:val="both"/>
        <w:rPr>
          <w:rFonts w:ascii="Arial" w:hAnsi="Arial" w:cs="Arial"/>
          <w:sz w:val="24"/>
          <w:szCs w:val="24"/>
        </w:rPr>
      </w:pPr>
      <w:r>
        <w:rPr>
          <w:rFonts w:ascii="Arial" w:hAnsi="Arial" w:cs="Arial"/>
          <w:sz w:val="24"/>
          <w:szCs w:val="24"/>
        </w:rPr>
        <w:t xml:space="preserve">                     </w:t>
      </w:r>
      <w:r w:rsidR="00FA0F94" w:rsidRPr="00D67EB1">
        <w:rPr>
          <w:rFonts w:ascii="Arial" w:hAnsi="Arial" w:cs="Arial"/>
          <w:sz w:val="24"/>
          <w:szCs w:val="24"/>
        </w:rPr>
        <w:t xml:space="preserve">Sala das </w:t>
      </w:r>
      <w:proofErr w:type="gramStart"/>
      <w:r w:rsidR="00FA0F94" w:rsidRPr="00D67EB1">
        <w:rPr>
          <w:rFonts w:ascii="Arial" w:hAnsi="Arial" w:cs="Arial"/>
          <w:sz w:val="24"/>
          <w:szCs w:val="24"/>
        </w:rPr>
        <w:t xml:space="preserve">Sessões,   </w:t>
      </w:r>
      <w:proofErr w:type="gramEnd"/>
      <w:r w:rsidR="00FA0F94" w:rsidRPr="00D67EB1">
        <w:rPr>
          <w:rFonts w:ascii="Arial" w:hAnsi="Arial" w:cs="Arial"/>
          <w:sz w:val="24"/>
          <w:szCs w:val="24"/>
        </w:rPr>
        <w:t xml:space="preserve">            de                    </w:t>
      </w:r>
      <w:proofErr w:type="spellStart"/>
      <w:r w:rsidR="00FA0F94" w:rsidRPr="00D67EB1">
        <w:rPr>
          <w:rFonts w:ascii="Arial" w:hAnsi="Arial" w:cs="Arial"/>
          <w:sz w:val="24"/>
          <w:szCs w:val="24"/>
        </w:rPr>
        <w:t>de</w:t>
      </w:r>
      <w:proofErr w:type="spellEnd"/>
      <w:r w:rsidR="00FA0F94" w:rsidRPr="00D67EB1">
        <w:rPr>
          <w:rFonts w:ascii="Arial" w:hAnsi="Arial" w:cs="Arial"/>
          <w:sz w:val="24"/>
          <w:szCs w:val="24"/>
        </w:rPr>
        <w:t xml:space="preserve"> 2015.</w:t>
      </w:r>
    </w:p>
    <w:p w:rsidR="00FA0F94" w:rsidRPr="00D67EB1" w:rsidRDefault="00FA0F94" w:rsidP="00FA0F94">
      <w:pPr>
        <w:spacing w:after="0" w:line="360" w:lineRule="auto"/>
        <w:ind w:firstLine="709"/>
        <w:jc w:val="center"/>
        <w:rPr>
          <w:rFonts w:ascii="Arial" w:hAnsi="Arial" w:cs="Arial"/>
          <w:sz w:val="24"/>
          <w:szCs w:val="24"/>
        </w:rPr>
      </w:pPr>
    </w:p>
    <w:p w:rsidR="00FA0F94" w:rsidRPr="00D67EB1" w:rsidRDefault="00FA0F94" w:rsidP="00FA0F94">
      <w:pPr>
        <w:spacing w:after="0" w:line="360" w:lineRule="auto"/>
        <w:ind w:firstLine="709"/>
        <w:jc w:val="center"/>
        <w:rPr>
          <w:rFonts w:ascii="Arial" w:hAnsi="Arial" w:cs="Arial"/>
          <w:b/>
          <w:sz w:val="24"/>
          <w:szCs w:val="24"/>
        </w:rPr>
      </w:pPr>
      <w:r w:rsidRPr="00D67EB1">
        <w:rPr>
          <w:rFonts w:ascii="Arial" w:hAnsi="Arial" w:cs="Arial"/>
          <w:b/>
          <w:sz w:val="24"/>
          <w:szCs w:val="24"/>
        </w:rPr>
        <w:t xml:space="preserve">Dep. </w:t>
      </w:r>
      <w:proofErr w:type="spellStart"/>
      <w:r w:rsidRPr="00D67EB1">
        <w:rPr>
          <w:rFonts w:ascii="Arial" w:hAnsi="Arial" w:cs="Arial"/>
          <w:b/>
          <w:sz w:val="24"/>
          <w:szCs w:val="24"/>
        </w:rPr>
        <w:t>Indio</w:t>
      </w:r>
      <w:proofErr w:type="spellEnd"/>
      <w:r w:rsidRPr="00D67EB1">
        <w:rPr>
          <w:rFonts w:ascii="Arial" w:hAnsi="Arial" w:cs="Arial"/>
          <w:b/>
          <w:sz w:val="24"/>
          <w:szCs w:val="24"/>
        </w:rPr>
        <w:t xml:space="preserve"> da Costa</w:t>
      </w:r>
    </w:p>
    <w:p w:rsidR="00FA0F94" w:rsidRPr="00D67EB1" w:rsidRDefault="00FA0F94" w:rsidP="00FA0F94">
      <w:pPr>
        <w:spacing w:after="0" w:line="360" w:lineRule="auto"/>
        <w:ind w:firstLine="709"/>
        <w:jc w:val="center"/>
        <w:rPr>
          <w:rFonts w:ascii="Arial" w:hAnsi="Arial" w:cs="Arial"/>
          <w:b/>
          <w:sz w:val="24"/>
          <w:szCs w:val="24"/>
        </w:rPr>
      </w:pPr>
      <w:r w:rsidRPr="00D67EB1">
        <w:rPr>
          <w:rFonts w:ascii="Arial" w:hAnsi="Arial" w:cs="Arial"/>
          <w:b/>
          <w:sz w:val="24"/>
          <w:szCs w:val="24"/>
        </w:rPr>
        <w:t>PSD/RJ</w:t>
      </w:r>
    </w:p>
    <w:p w:rsidR="00FA0F94" w:rsidRPr="00FA0F94" w:rsidRDefault="00FA0F94" w:rsidP="00FA0F94">
      <w:pPr>
        <w:autoSpaceDE w:val="0"/>
        <w:autoSpaceDN w:val="0"/>
        <w:adjustRightInd w:val="0"/>
        <w:spacing w:after="0" w:line="360" w:lineRule="auto"/>
        <w:ind w:firstLine="709"/>
        <w:jc w:val="both"/>
        <w:rPr>
          <w:rFonts w:ascii="Arial" w:hAnsi="Arial" w:cs="Arial"/>
          <w:sz w:val="24"/>
          <w:szCs w:val="24"/>
        </w:rPr>
      </w:pPr>
    </w:p>
    <w:sectPr w:rsidR="00FA0F94" w:rsidRPr="00FA0F94" w:rsidSect="00375E32">
      <w:headerReference w:type="default" r:id="rId7"/>
      <w:pgSz w:w="11906" w:h="16838"/>
      <w:pgMar w:top="700" w:right="1701" w:bottom="700" w:left="1701"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E88" w:rsidRDefault="00DF6E88" w:rsidP="009A4896">
      <w:pPr>
        <w:spacing w:after="0" w:line="240" w:lineRule="auto"/>
      </w:pPr>
      <w:r>
        <w:separator/>
      </w:r>
    </w:p>
  </w:endnote>
  <w:endnote w:type="continuationSeparator" w:id="0">
    <w:p w:rsidR="00DF6E88" w:rsidRDefault="00DF6E88" w:rsidP="009A4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rlito"/>
    <w:panose1 w:val="020F0502020204030204"/>
    <w:charset w:val="00"/>
    <w:family w:val="roman"/>
    <w:notTrueType/>
    <w:pitch w:val="default"/>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E88" w:rsidRDefault="00DF6E88" w:rsidP="009A4896">
      <w:pPr>
        <w:spacing w:after="0" w:line="240" w:lineRule="auto"/>
      </w:pPr>
      <w:r>
        <w:separator/>
      </w:r>
    </w:p>
  </w:footnote>
  <w:footnote w:type="continuationSeparator" w:id="0">
    <w:p w:rsidR="00DF6E88" w:rsidRDefault="00DF6E88" w:rsidP="009A48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3E1B" w:rsidRDefault="00DF6E88">
    <w:pPr>
      <w:pStyle w:val="Cabealh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53.7pt;margin-top:15.75pt;width:50.4pt;height:50.4pt;z-index:251658240;visibility:visible;mso-wrap-edited:f;mso-position-vertical-relative:page" o:allowincell="f">
          <v:imagedata r:id="rId1" o:title=""/>
          <w10:wrap anchory="page"/>
        </v:shape>
        <o:OLEObject Type="Embed" ProgID="Word.Picture.8" ShapeID="_x0000_s2049" DrawAspect="Content" ObjectID="_1511796503" r:id="rId2"/>
      </w:object>
    </w:r>
    <w:r w:rsidR="009A4896">
      <w:t xml:space="preserve">          </w:t>
    </w:r>
  </w:p>
  <w:p w:rsidR="009A4896" w:rsidRPr="009A4896" w:rsidRDefault="009A4896">
    <w:pPr>
      <w:pStyle w:val="Cabealho"/>
      <w:rPr>
        <w:b/>
        <w:sz w:val="28"/>
        <w:szCs w:val="28"/>
      </w:rPr>
    </w:pPr>
    <w:r w:rsidRPr="009A4896">
      <w:rPr>
        <w:b/>
        <w:sz w:val="28"/>
        <w:szCs w:val="28"/>
      </w:rPr>
      <w:t>CÂMARA DOS DEPUTADOS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4896"/>
    <w:rsid w:val="0001645F"/>
    <w:rsid w:val="000571B4"/>
    <w:rsid w:val="0007035E"/>
    <w:rsid w:val="000801AA"/>
    <w:rsid w:val="000A4A87"/>
    <w:rsid w:val="000E0123"/>
    <w:rsid w:val="000E788C"/>
    <w:rsid w:val="000F433C"/>
    <w:rsid w:val="00114F09"/>
    <w:rsid w:val="00115CBD"/>
    <w:rsid w:val="00143C31"/>
    <w:rsid w:val="00143F09"/>
    <w:rsid w:val="0019235E"/>
    <w:rsid w:val="001956AA"/>
    <w:rsid w:val="00202632"/>
    <w:rsid w:val="00207583"/>
    <w:rsid w:val="002516FC"/>
    <w:rsid w:val="00253164"/>
    <w:rsid w:val="0026700C"/>
    <w:rsid w:val="00267E3E"/>
    <w:rsid w:val="00281EFD"/>
    <w:rsid w:val="0029143A"/>
    <w:rsid w:val="002A4DDB"/>
    <w:rsid w:val="002B7BB3"/>
    <w:rsid w:val="00301DEE"/>
    <w:rsid w:val="003253E7"/>
    <w:rsid w:val="003316D0"/>
    <w:rsid w:val="00342DFB"/>
    <w:rsid w:val="003442AE"/>
    <w:rsid w:val="00351D86"/>
    <w:rsid w:val="00361C8F"/>
    <w:rsid w:val="00375E32"/>
    <w:rsid w:val="003C3E8E"/>
    <w:rsid w:val="003E0F92"/>
    <w:rsid w:val="003F1FA0"/>
    <w:rsid w:val="00403113"/>
    <w:rsid w:val="00416D3A"/>
    <w:rsid w:val="00461094"/>
    <w:rsid w:val="004753B6"/>
    <w:rsid w:val="004A3DDE"/>
    <w:rsid w:val="004E553B"/>
    <w:rsid w:val="004F0AB8"/>
    <w:rsid w:val="004F694B"/>
    <w:rsid w:val="00515AA9"/>
    <w:rsid w:val="0052174D"/>
    <w:rsid w:val="00540F87"/>
    <w:rsid w:val="00575ABA"/>
    <w:rsid w:val="005C5361"/>
    <w:rsid w:val="005D0286"/>
    <w:rsid w:val="005D61FB"/>
    <w:rsid w:val="00617FC5"/>
    <w:rsid w:val="006250B9"/>
    <w:rsid w:val="0062545A"/>
    <w:rsid w:val="00627ECA"/>
    <w:rsid w:val="00661915"/>
    <w:rsid w:val="00661DE2"/>
    <w:rsid w:val="00674C62"/>
    <w:rsid w:val="006813E7"/>
    <w:rsid w:val="00687650"/>
    <w:rsid w:val="00693941"/>
    <w:rsid w:val="006B30DA"/>
    <w:rsid w:val="006B3672"/>
    <w:rsid w:val="006B3CC0"/>
    <w:rsid w:val="006D1784"/>
    <w:rsid w:val="006D6AE8"/>
    <w:rsid w:val="006E2600"/>
    <w:rsid w:val="006F3E1B"/>
    <w:rsid w:val="006F63BE"/>
    <w:rsid w:val="00703E30"/>
    <w:rsid w:val="0071343E"/>
    <w:rsid w:val="0073118E"/>
    <w:rsid w:val="00752082"/>
    <w:rsid w:val="007A3EEF"/>
    <w:rsid w:val="007D23DD"/>
    <w:rsid w:val="007D652D"/>
    <w:rsid w:val="008114FA"/>
    <w:rsid w:val="00814E4D"/>
    <w:rsid w:val="008263C7"/>
    <w:rsid w:val="008607E7"/>
    <w:rsid w:val="00861F5A"/>
    <w:rsid w:val="0088036D"/>
    <w:rsid w:val="00890601"/>
    <w:rsid w:val="008A04F3"/>
    <w:rsid w:val="008A55DD"/>
    <w:rsid w:val="008C5151"/>
    <w:rsid w:val="008C6A35"/>
    <w:rsid w:val="008D605F"/>
    <w:rsid w:val="00900DA7"/>
    <w:rsid w:val="00904F37"/>
    <w:rsid w:val="00907929"/>
    <w:rsid w:val="0091526B"/>
    <w:rsid w:val="00931538"/>
    <w:rsid w:val="009349DA"/>
    <w:rsid w:val="00935317"/>
    <w:rsid w:val="009365EC"/>
    <w:rsid w:val="0095524D"/>
    <w:rsid w:val="00957AF5"/>
    <w:rsid w:val="00966641"/>
    <w:rsid w:val="00981682"/>
    <w:rsid w:val="00982FE8"/>
    <w:rsid w:val="009A4896"/>
    <w:rsid w:val="009B75EA"/>
    <w:rsid w:val="00A00107"/>
    <w:rsid w:val="00A05A8E"/>
    <w:rsid w:val="00A068A6"/>
    <w:rsid w:val="00A1289C"/>
    <w:rsid w:val="00A20C24"/>
    <w:rsid w:val="00A42807"/>
    <w:rsid w:val="00A428C8"/>
    <w:rsid w:val="00A55645"/>
    <w:rsid w:val="00A76818"/>
    <w:rsid w:val="00A80249"/>
    <w:rsid w:val="00A81B02"/>
    <w:rsid w:val="00A85EBC"/>
    <w:rsid w:val="00AA4A28"/>
    <w:rsid w:val="00AD48B9"/>
    <w:rsid w:val="00AE36F2"/>
    <w:rsid w:val="00AF59FD"/>
    <w:rsid w:val="00B02B8F"/>
    <w:rsid w:val="00B11D18"/>
    <w:rsid w:val="00B205A8"/>
    <w:rsid w:val="00B546A1"/>
    <w:rsid w:val="00B65334"/>
    <w:rsid w:val="00B9056A"/>
    <w:rsid w:val="00BC77D4"/>
    <w:rsid w:val="00BD2C24"/>
    <w:rsid w:val="00BE57DF"/>
    <w:rsid w:val="00BF5981"/>
    <w:rsid w:val="00C22DEA"/>
    <w:rsid w:val="00C6193F"/>
    <w:rsid w:val="00C6594F"/>
    <w:rsid w:val="00C668E4"/>
    <w:rsid w:val="00C729A5"/>
    <w:rsid w:val="00C9504D"/>
    <w:rsid w:val="00CC20BA"/>
    <w:rsid w:val="00CC6097"/>
    <w:rsid w:val="00CD4319"/>
    <w:rsid w:val="00CD77C8"/>
    <w:rsid w:val="00D02154"/>
    <w:rsid w:val="00D0235D"/>
    <w:rsid w:val="00D2054E"/>
    <w:rsid w:val="00D250C4"/>
    <w:rsid w:val="00D264C4"/>
    <w:rsid w:val="00D43257"/>
    <w:rsid w:val="00D44DFB"/>
    <w:rsid w:val="00D5586C"/>
    <w:rsid w:val="00D67EB1"/>
    <w:rsid w:val="00DA791E"/>
    <w:rsid w:val="00DF6E88"/>
    <w:rsid w:val="00E2061A"/>
    <w:rsid w:val="00E31363"/>
    <w:rsid w:val="00E50F33"/>
    <w:rsid w:val="00E56C73"/>
    <w:rsid w:val="00E77150"/>
    <w:rsid w:val="00E804CC"/>
    <w:rsid w:val="00E813D9"/>
    <w:rsid w:val="00E834A4"/>
    <w:rsid w:val="00EA29DF"/>
    <w:rsid w:val="00EC6A9B"/>
    <w:rsid w:val="00EC7137"/>
    <w:rsid w:val="00EE20E7"/>
    <w:rsid w:val="00F236B0"/>
    <w:rsid w:val="00F2739F"/>
    <w:rsid w:val="00F2746F"/>
    <w:rsid w:val="00F5685C"/>
    <w:rsid w:val="00F56DB9"/>
    <w:rsid w:val="00F63D9F"/>
    <w:rsid w:val="00F748AB"/>
    <w:rsid w:val="00F87026"/>
    <w:rsid w:val="00FA0F94"/>
    <w:rsid w:val="00FB5544"/>
    <w:rsid w:val="00FE10D3"/>
    <w:rsid w:val="00FE30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5EDB3453-95BE-40BC-A3BE-F8346AAA0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4896"/>
    <w:rPr>
      <w:rFonts w:eastAsiaTheme="minorEastAsia"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A4896"/>
    <w:pPr>
      <w:tabs>
        <w:tab w:val="center" w:pos="4252"/>
        <w:tab w:val="right" w:pos="8504"/>
      </w:tabs>
      <w:spacing w:after="0" w:line="240" w:lineRule="auto"/>
    </w:pPr>
  </w:style>
  <w:style w:type="character" w:customStyle="1" w:styleId="CabealhoChar">
    <w:name w:val="Cabeçalho Char"/>
    <w:basedOn w:val="Fontepargpadro"/>
    <w:link w:val="Cabealho"/>
    <w:uiPriority w:val="99"/>
    <w:locked/>
    <w:rsid w:val="009A4896"/>
    <w:rPr>
      <w:rFonts w:eastAsiaTheme="minorEastAsia" w:cs="Times New Roman"/>
      <w:lang w:val="x-none" w:eastAsia="pt-BR"/>
    </w:rPr>
  </w:style>
  <w:style w:type="paragraph" w:styleId="Rodap">
    <w:name w:val="footer"/>
    <w:basedOn w:val="Normal"/>
    <w:link w:val="RodapChar"/>
    <w:uiPriority w:val="99"/>
    <w:unhideWhenUsed/>
    <w:rsid w:val="009A4896"/>
    <w:pPr>
      <w:tabs>
        <w:tab w:val="center" w:pos="4252"/>
        <w:tab w:val="right" w:pos="8504"/>
      </w:tabs>
      <w:spacing w:after="0" w:line="240" w:lineRule="auto"/>
    </w:pPr>
  </w:style>
  <w:style w:type="character" w:customStyle="1" w:styleId="RodapChar">
    <w:name w:val="Rodapé Char"/>
    <w:basedOn w:val="Fontepargpadro"/>
    <w:link w:val="Rodap"/>
    <w:uiPriority w:val="99"/>
    <w:locked/>
    <w:rsid w:val="009A4896"/>
    <w:rPr>
      <w:rFonts w:eastAsiaTheme="minorEastAsia" w:cs="Times New Roman"/>
      <w:lang w:val="x-none" w:eastAsia="pt-BR"/>
    </w:rPr>
  </w:style>
  <w:style w:type="paragraph" w:customStyle="1" w:styleId="Default">
    <w:name w:val="Default"/>
    <w:uiPriority w:val="99"/>
    <w:rsid w:val="00A20C24"/>
    <w:pPr>
      <w:autoSpaceDE w:val="0"/>
      <w:autoSpaceDN w:val="0"/>
      <w:adjustRightInd w:val="0"/>
      <w:spacing w:after="0" w:line="240" w:lineRule="auto"/>
    </w:pPr>
    <w:rPr>
      <w:rFonts w:ascii="Arial" w:eastAsiaTheme="minorEastAsia" w:hAnsi="Arial" w:cs="Arial"/>
      <w:color w:val="000000"/>
      <w:sz w:val="24"/>
      <w:szCs w:val="24"/>
    </w:rPr>
  </w:style>
  <w:style w:type="paragraph" w:styleId="NormalWeb">
    <w:name w:val="Normal (Web)"/>
    <w:basedOn w:val="Normal"/>
    <w:uiPriority w:val="99"/>
    <w:unhideWhenUsed/>
    <w:rsid w:val="00661DE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Fontepargpadro"/>
    <w:uiPriority w:val="99"/>
    <w:semiHidden/>
    <w:unhideWhenUsed/>
    <w:rsid w:val="00661DE2"/>
    <w:rPr>
      <w:rFonts w:cs="Times New Roman"/>
      <w:color w:val="0000FF"/>
      <w:u w:val="single"/>
    </w:rPr>
  </w:style>
  <w:style w:type="character" w:customStyle="1" w:styleId="apple-converted-space">
    <w:name w:val="apple-converted-space"/>
    <w:basedOn w:val="Fontepargpadro"/>
    <w:rsid w:val="000801AA"/>
    <w:rPr>
      <w:rFonts w:cs="Times New Roman"/>
    </w:rPr>
  </w:style>
  <w:style w:type="paragraph" w:styleId="Textodebalo">
    <w:name w:val="Balloon Text"/>
    <w:basedOn w:val="Normal"/>
    <w:link w:val="TextodebaloChar"/>
    <w:uiPriority w:val="99"/>
    <w:semiHidden/>
    <w:unhideWhenUsed/>
    <w:rsid w:val="00AA4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AA4A28"/>
    <w:rPr>
      <w:rFonts w:ascii="Tahoma" w:eastAsiaTheme="minorEastAsia" w:hAnsi="Tahoma" w:cs="Tahoma"/>
      <w:sz w:val="16"/>
      <w:szCs w:val="16"/>
      <w:lang w:val="x-none" w:eastAsia="pt-BR"/>
    </w:rPr>
  </w:style>
  <w:style w:type="paragraph" w:styleId="Textodenotadefim">
    <w:name w:val="endnote text"/>
    <w:basedOn w:val="Normal"/>
    <w:link w:val="TextodenotadefimChar"/>
    <w:uiPriority w:val="99"/>
    <w:semiHidden/>
    <w:unhideWhenUsed/>
    <w:rsid w:val="00F56DB9"/>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locked/>
    <w:rsid w:val="00F56DB9"/>
    <w:rPr>
      <w:rFonts w:eastAsiaTheme="minorEastAsia" w:cs="Times New Roman"/>
      <w:sz w:val="20"/>
      <w:szCs w:val="20"/>
      <w:lang w:val="x-none" w:eastAsia="pt-BR"/>
    </w:rPr>
  </w:style>
  <w:style w:type="character" w:styleId="Refdenotadefim">
    <w:name w:val="endnote reference"/>
    <w:basedOn w:val="Fontepargpadro"/>
    <w:uiPriority w:val="99"/>
    <w:semiHidden/>
    <w:unhideWhenUsed/>
    <w:rsid w:val="00F56DB9"/>
    <w:rPr>
      <w:rFonts w:cs="Times New Roman"/>
      <w:vertAlign w:val="superscript"/>
    </w:rPr>
  </w:style>
  <w:style w:type="paragraph" w:styleId="Textodenotaderodap">
    <w:name w:val="footnote text"/>
    <w:basedOn w:val="Normal"/>
    <w:link w:val="TextodenotaderodapChar"/>
    <w:uiPriority w:val="99"/>
    <w:semiHidden/>
    <w:unhideWhenUsed/>
    <w:rsid w:val="00F56DB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locked/>
    <w:rsid w:val="00F56DB9"/>
    <w:rPr>
      <w:rFonts w:eastAsiaTheme="minorEastAsia" w:cs="Times New Roman"/>
      <w:sz w:val="20"/>
      <w:szCs w:val="20"/>
      <w:lang w:val="x-none" w:eastAsia="pt-BR"/>
    </w:rPr>
  </w:style>
  <w:style w:type="character" w:styleId="Refdenotaderodap">
    <w:name w:val="footnote reference"/>
    <w:basedOn w:val="Fontepargpadro"/>
    <w:uiPriority w:val="99"/>
    <w:semiHidden/>
    <w:unhideWhenUsed/>
    <w:rsid w:val="00F56DB9"/>
    <w:rPr>
      <w:rFonts w:cs="Times New Roman"/>
      <w:vertAlign w:val="superscript"/>
    </w:rPr>
  </w:style>
  <w:style w:type="paragraph" w:styleId="Corpodetexto">
    <w:name w:val="Body Text"/>
    <w:basedOn w:val="Normal"/>
    <w:link w:val="CorpodetextoChar"/>
    <w:uiPriority w:val="99"/>
    <w:rsid w:val="00143F09"/>
    <w:pPr>
      <w:suppressAutoHyphens/>
      <w:spacing w:after="240" w:line="240" w:lineRule="atLeast"/>
      <w:ind w:firstLine="360"/>
      <w:jc w:val="both"/>
    </w:pPr>
    <w:rPr>
      <w:rFonts w:ascii="Garamond" w:eastAsia="Times New Roman" w:hAnsi="Garamond"/>
      <w:szCs w:val="20"/>
      <w:lang w:val="en-US" w:eastAsia="ar-SA"/>
    </w:rPr>
  </w:style>
  <w:style w:type="character" w:customStyle="1" w:styleId="CorpodetextoChar">
    <w:name w:val="Corpo de texto Char"/>
    <w:basedOn w:val="Fontepargpadro"/>
    <w:link w:val="Corpodetexto"/>
    <w:uiPriority w:val="99"/>
    <w:locked/>
    <w:rsid w:val="00143F09"/>
    <w:rPr>
      <w:rFonts w:ascii="Garamond" w:hAnsi="Garamond" w:cs="Times New Roman"/>
      <w:sz w:val="20"/>
      <w:szCs w:val="2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615965">
      <w:bodyDiv w:val="1"/>
      <w:marLeft w:val="0"/>
      <w:marRight w:val="0"/>
      <w:marTop w:val="0"/>
      <w:marBottom w:val="0"/>
      <w:divBdr>
        <w:top w:val="none" w:sz="0" w:space="0" w:color="auto"/>
        <w:left w:val="none" w:sz="0" w:space="0" w:color="auto"/>
        <w:bottom w:val="none" w:sz="0" w:space="0" w:color="auto"/>
        <w:right w:val="none" w:sz="0" w:space="0" w:color="auto"/>
      </w:divBdr>
    </w:div>
    <w:div w:id="1319964127">
      <w:marLeft w:val="0"/>
      <w:marRight w:val="0"/>
      <w:marTop w:val="0"/>
      <w:marBottom w:val="0"/>
      <w:divBdr>
        <w:top w:val="none" w:sz="0" w:space="0" w:color="auto"/>
        <w:left w:val="none" w:sz="0" w:space="0" w:color="auto"/>
        <w:bottom w:val="none" w:sz="0" w:space="0" w:color="auto"/>
        <w:right w:val="none" w:sz="0" w:space="0" w:color="auto"/>
      </w:divBdr>
    </w:div>
    <w:div w:id="1319964128">
      <w:marLeft w:val="0"/>
      <w:marRight w:val="0"/>
      <w:marTop w:val="0"/>
      <w:marBottom w:val="0"/>
      <w:divBdr>
        <w:top w:val="none" w:sz="0" w:space="0" w:color="auto"/>
        <w:left w:val="none" w:sz="0" w:space="0" w:color="auto"/>
        <w:bottom w:val="none" w:sz="0" w:space="0" w:color="auto"/>
        <w:right w:val="none" w:sz="0" w:space="0" w:color="auto"/>
      </w:divBdr>
    </w:div>
    <w:div w:id="13199641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32DCB-5B40-41A7-87DE-AA9049529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3971</Words>
  <Characters>21449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25370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 Cristina Maidana Haag</dc:creator>
  <cp:lastModifiedBy>Gabriel Souza de Carvalho Ramos</cp:lastModifiedBy>
  <cp:revision>4</cp:revision>
  <cp:lastPrinted>2015-03-12T13:04:00Z</cp:lastPrinted>
  <dcterms:created xsi:type="dcterms:W3CDTF">2015-12-07T15:50:00Z</dcterms:created>
  <dcterms:modified xsi:type="dcterms:W3CDTF">2015-12-16T20:42:00Z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ID">
    <vt:i4>264380</vt:i4>
  </property>
</Properties>
</file>