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CCA" w:rsidRDefault="00B2477E" w:rsidP="00927DF5">
      <w:pPr>
        <w:pStyle w:val="TranscrioLei"/>
        <w:keepNext/>
        <w:widowControl w:val="0"/>
        <w:spacing w:before="1786" w:after="60" w:line="360" w:lineRule="exact"/>
        <w:ind w:left="0"/>
        <w:jc w:val="center"/>
        <w:outlineLvl w:val="1"/>
        <w:rPr>
          <w:b/>
          <w:noProof w:val="0"/>
          <w:sz w:val="28"/>
        </w:rPr>
      </w:pPr>
      <w:r>
        <w:rPr>
          <w:b/>
          <w:noProof w:val="0"/>
          <w:sz w:val="28"/>
        </w:rPr>
        <w:t xml:space="preserve">PROJETO DE LEI </w:t>
      </w:r>
      <w:r w:rsidR="006D3D59">
        <w:rPr>
          <w:b/>
          <w:noProof w:val="0"/>
          <w:sz w:val="28"/>
        </w:rPr>
        <w:t xml:space="preserve">COMPLEMENTAR </w:t>
      </w:r>
      <w:r>
        <w:rPr>
          <w:b/>
          <w:noProof w:val="0"/>
          <w:sz w:val="28"/>
        </w:rPr>
        <w:t>Nº      , DE 201</w:t>
      </w:r>
      <w:r w:rsidR="00A1456A">
        <w:rPr>
          <w:b/>
          <w:noProof w:val="0"/>
          <w:sz w:val="28"/>
        </w:rPr>
        <w:t>5</w:t>
      </w:r>
    </w:p>
    <w:p w:rsidR="00F24CCA" w:rsidRDefault="00A10052">
      <w:pPr>
        <w:widowControl w:val="0"/>
        <w:spacing w:line="360" w:lineRule="exact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>(D</w:t>
      </w:r>
      <w:r w:rsidR="00896483">
        <w:rPr>
          <w:rFonts w:ascii="Arial" w:hAnsi="Arial"/>
          <w:b/>
          <w:snapToGrid w:val="0"/>
          <w:color w:val="000000"/>
          <w:sz w:val="24"/>
        </w:rPr>
        <w:t>o</w:t>
      </w:r>
      <w:r>
        <w:rPr>
          <w:rFonts w:ascii="Arial" w:hAnsi="Arial"/>
          <w:b/>
          <w:snapToGrid w:val="0"/>
          <w:color w:val="000000"/>
          <w:sz w:val="24"/>
        </w:rPr>
        <w:t xml:space="preserve"> Sr. </w:t>
      </w:r>
      <w:r w:rsidR="00927DF5">
        <w:rPr>
          <w:rFonts w:ascii="Arial" w:hAnsi="Arial"/>
          <w:b/>
          <w:snapToGrid w:val="0"/>
          <w:color w:val="000000"/>
          <w:sz w:val="24"/>
        </w:rPr>
        <w:t>JOÃO DERLY</w:t>
      </w:r>
      <w:r w:rsidR="00B2477E">
        <w:rPr>
          <w:rFonts w:ascii="Arial" w:hAnsi="Arial"/>
          <w:b/>
          <w:snapToGrid w:val="0"/>
          <w:color w:val="000000"/>
          <w:sz w:val="24"/>
        </w:rPr>
        <w:t>)</w:t>
      </w:r>
    </w:p>
    <w:p w:rsidR="00450BB3" w:rsidRPr="0092759C" w:rsidRDefault="00450BB3" w:rsidP="00927DF5">
      <w:pPr>
        <w:pStyle w:val="Ementa"/>
        <w:spacing w:before="840" w:after="1080" w:line="280" w:lineRule="exact"/>
      </w:pPr>
      <w:r w:rsidRPr="0092759C">
        <w:t>Altera a Lei Complementar nº 64, de 18 de maio de 1990 (Lei de Inelegibilidade),</w:t>
      </w:r>
      <w:r w:rsidR="00A10052" w:rsidRPr="0092759C">
        <w:t xml:space="preserve"> </w:t>
      </w:r>
      <w:r w:rsidR="00896483">
        <w:t xml:space="preserve">para tornar </w:t>
      </w:r>
      <w:r w:rsidR="00A10052" w:rsidRPr="0092759C">
        <w:t xml:space="preserve">inelegíveis </w:t>
      </w:r>
      <w:r w:rsidR="00C7420E">
        <w:t xml:space="preserve">para qualquer cargo </w:t>
      </w:r>
      <w:r w:rsidR="0092759C" w:rsidRPr="0092759C">
        <w:t>os condenados</w:t>
      </w:r>
      <w:r w:rsidR="000A6F21">
        <w:t xml:space="preserve"> </w:t>
      </w:r>
      <w:r w:rsidR="0035203D">
        <w:rPr>
          <w:rStyle w:val="01char"/>
        </w:rPr>
        <w:t>civil ou criminalmente</w:t>
      </w:r>
      <w:r w:rsidR="0092759C" w:rsidRPr="0092759C">
        <w:rPr>
          <w:rStyle w:val="01char"/>
        </w:rPr>
        <w:t xml:space="preserve"> em situação de </w:t>
      </w:r>
      <w:r w:rsidR="00A10052" w:rsidRPr="0092759C">
        <w:t>violência doméstica</w:t>
      </w:r>
      <w:r w:rsidR="0092759C" w:rsidRPr="0092759C">
        <w:t xml:space="preserve"> e familiar</w:t>
      </w:r>
      <w:r w:rsidR="0035203D">
        <w:t xml:space="preserve"> contra a mulher</w:t>
      </w:r>
      <w:r w:rsidR="0092759C" w:rsidRPr="0092759C">
        <w:t>.</w:t>
      </w:r>
    </w:p>
    <w:p w:rsidR="00F24CCA" w:rsidRDefault="00B2477E" w:rsidP="00927DF5">
      <w:pPr>
        <w:pStyle w:val="CorpoPadro"/>
        <w:widowControl w:val="0"/>
        <w:spacing w:after="600"/>
      </w:pPr>
      <w:r>
        <w:t>O</w:t>
      </w:r>
      <w:r>
        <w:rPr>
          <w:b/>
        </w:rPr>
        <w:t xml:space="preserve"> </w:t>
      </w:r>
      <w:r>
        <w:t>Congresso Nacional</w:t>
      </w:r>
      <w:r>
        <w:rPr>
          <w:b/>
        </w:rPr>
        <w:t xml:space="preserve"> </w:t>
      </w:r>
      <w:r>
        <w:t>decreta:</w:t>
      </w:r>
    </w:p>
    <w:p w:rsidR="0079787B" w:rsidRPr="0079787B" w:rsidRDefault="0079787B" w:rsidP="0079787B">
      <w:pPr>
        <w:pStyle w:val="CorpoPadro"/>
        <w:rPr>
          <w:rFonts w:eastAsiaTheme="minorHAnsi"/>
          <w:lang w:eastAsia="en-US"/>
        </w:rPr>
      </w:pPr>
      <w:bookmarkStart w:id="0" w:name="art45"/>
      <w:bookmarkEnd w:id="0"/>
      <w:r w:rsidRPr="0079787B">
        <w:rPr>
          <w:rFonts w:eastAsiaTheme="minorHAnsi"/>
          <w:lang w:eastAsia="en-US"/>
        </w:rPr>
        <w:t>Art. 1º Esta Lei Complementar altera a Lei Complementar nº 64, de 18</w:t>
      </w:r>
      <w:r>
        <w:rPr>
          <w:rFonts w:eastAsiaTheme="minorHAnsi"/>
          <w:lang w:eastAsia="en-US"/>
        </w:rPr>
        <w:t xml:space="preserve"> </w:t>
      </w:r>
      <w:r w:rsidRPr="0079787B">
        <w:rPr>
          <w:rFonts w:eastAsiaTheme="minorHAnsi"/>
          <w:lang w:eastAsia="en-US"/>
        </w:rPr>
        <w:t>de maio de 1990 (Lei de Inelegibilidade),</w:t>
      </w:r>
      <w:r w:rsidR="0092759C">
        <w:rPr>
          <w:rFonts w:eastAsiaTheme="minorHAnsi"/>
          <w:lang w:eastAsia="en-US"/>
        </w:rPr>
        <w:t xml:space="preserve"> </w:t>
      </w:r>
      <w:r w:rsidR="00C7420E">
        <w:t>para tornar</w:t>
      </w:r>
      <w:r w:rsidR="00C7420E" w:rsidRPr="0092759C">
        <w:t xml:space="preserve"> inelegíveis </w:t>
      </w:r>
      <w:r w:rsidR="00C7420E">
        <w:t xml:space="preserve">para qualquer cargo </w:t>
      </w:r>
      <w:r w:rsidR="00C7420E" w:rsidRPr="0092759C">
        <w:t>os que forem condenados</w:t>
      </w:r>
      <w:r w:rsidR="00C7420E" w:rsidRPr="0092759C">
        <w:rPr>
          <w:rStyle w:val="01char"/>
        </w:rPr>
        <w:t xml:space="preserve">, em decisão transitada em julgado ou proferida por órgão judicial colegiado, desde a condenação até o transcurso do prazo de oito anos após o cumprimento da </w:t>
      </w:r>
      <w:r w:rsidR="0035203D">
        <w:rPr>
          <w:rStyle w:val="01char"/>
        </w:rPr>
        <w:t>sanção</w:t>
      </w:r>
      <w:r w:rsidR="006B2C5B">
        <w:rPr>
          <w:rStyle w:val="01char"/>
        </w:rPr>
        <w:t xml:space="preserve"> civil ou criminal, </w:t>
      </w:r>
      <w:r w:rsidR="00C7420E" w:rsidRPr="0092759C">
        <w:rPr>
          <w:rStyle w:val="01char"/>
        </w:rPr>
        <w:t xml:space="preserve">em </w:t>
      </w:r>
      <w:r w:rsidR="006B2C5B">
        <w:rPr>
          <w:rStyle w:val="01char"/>
        </w:rPr>
        <w:t>virtude</w:t>
      </w:r>
      <w:r w:rsidR="00C7420E" w:rsidRPr="0092759C">
        <w:rPr>
          <w:rStyle w:val="01char"/>
        </w:rPr>
        <w:t xml:space="preserve"> de </w:t>
      </w:r>
      <w:r w:rsidR="00C7420E" w:rsidRPr="0092759C">
        <w:t>violência doméstica e familiar</w:t>
      </w:r>
      <w:r w:rsidR="006B2C5B">
        <w:t xml:space="preserve"> </w:t>
      </w:r>
      <w:r w:rsidR="006B2C5B" w:rsidRPr="0092759C">
        <w:rPr>
          <w:rStyle w:val="01char"/>
        </w:rPr>
        <w:t>contra mulheres</w:t>
      </w:r>
      <w:r w:rsidRPr="0079787B">
        <w:rPr>
          <w:rFonts w:eastAsiaTheme="minorHAnsi"/>
          <w:lang w:eastAsia="en-US"/>
        </w:rPr>
        <w:t>.</w:t>
      </w:r>
    </w:p>
    <w:p w:rsidR="0079787B" w:rsidRPr="0079787B" w:rsidRDefault="0079787B" w:rsidP="0079787B">
      <w:pPr>
        <w:pStyle w:val="CorpoPadro"/>
        <w:rPr>
          <w:rFonts w:eastAsiaTheme="minorHAnsi"/>
          <w:lang w:eastAsia="en-US"/>
        </w:rPr>
      </w:pPr>
      <w:r w:rsidRPr="0079787B">
        <w:rPr>
          <w:rFonts w:eastAsiaTheme="minorHAnsi"/>
          <w:lang w:eastAsia="en-US"/>
        </w:rPr>
        <w:t xml:space="preserve">Art. 2º </w:t>
      </w:r>
      <w:r w:rsidR="006B2C5B">
        <w:rPr>
          <w:rFonts w:eastAsiaTheme="minorHAnsi"/>
          <w:lang w:eastAsia="en-US"/>
        </w:rPr>
        <w:t xml:space="preserve">O </w:t>
      </w:r>
      <w:r w:rsidRPr="0079787B">
        <w:rPr>
          <w:rFonts w:eastAsiaTheme="minorHAnsi"/>
          <w:lang w:eastAsia="en-US"/>
        </w:rPr>
        <w:t xml:space="preserve">art. </w:t>
      </w:r>
      <w:r w:rsidR="00DC2AF4">
        <w:rPr>
          <w:rFonts w:eastAsiaTheme="minorHAnsi"/>
          <w:lang w:eastAsia="en-US"/>
        </w:rPr>
        <w:t>1</w:t>
      </w:r>
      <w:r w:rsidRPr="0079787B">
        <w:rPr>
          <w:rFonts w:eastAsiaTheme="minorHAnsi"/>
          <w:lang w:eastAsia="en-US"/>
        </w:rPr>
        <w:t>º da Lei Complementar nº 64, de</w:t>
      </w:r>
      <w:r>
        <w:rPr>
          <w:rFonts w:eastAsiaTheme="minorHAnsi"/>
          <w:lang w:eastAsia="en-US"/>
        </w:rPr>
        <w:t xml:space="preserve"> 18 de maio de </w:t>
      </w:r>
      <w:r w:rsidRPr="0079787B">
        <w:rPr>
          <w:rFonts w:eastAsiaTheme="minorHAnsi"/>
          <w:lang w:eastAsia="en-US"/>
        </w:rPr>
        <w:t>1990,</w:t>
      </w:r>
      <w:r w:rsidR="0092759C">
        <w:rPr>
          <w:rFonts w:eastAsiaTheme="minorHAnsi"/>
          <w:lang w:eastAsia="en-US"/>
        </w:rPr>
        <w:t xml:space="preserve"> passa a vigorar acrescid</w:t>
      </w:r>
      <w:r w:rsidR="006B2C5B">
        <w:rPr>
          <w:rFonts w:eastAsiaTheme="minorHAnsi"/>
          <w:lang w:eastAsia="en-US"/>
        </w:rPr>
        <w:t>o</w:t>
      </w:r>
      <w:r w:rsidR="0092759C">
        <w:rPr>
          <w:rFonts w:eastAsiaTheme="minorHAnsi"/>
          <w:lang w:eastAsia="en-US"/>
        </w:rPr>
        <w:t xml:space="preserve"> d</w:t>
      </w:r>
      <w:r w:rsidR="006B2C5B">
        <w:rPr>
          <w:rFonts w:eastAsiaTheme="minorHAnsi"/>
          <w:lang w:eastAsia="en-US"/>
        </w:rPr>
        <w:t>e</w:t>
      </w:r>
      <w:r w:rsidR="0092759C">
        <w:rPr>
          <w:rFonts w:eastAsiaTheme="minorHAnsi"/>
          <w:lang w:eastAsia="en-US"/>
        </w:rPr>
        <w:t xml:space="preserve"> item 11</w:t>
      </w:r>
      <w:r w:rsidR="006B2C5B">
        <w:rPr>
          <w:rFonts w:eastAsiaTheme="minorHAnsi"/>
          <w:lang w:eastAsia="en-US"/>
        </w:rPr>
        <w:t xml:space="preserve"> na alínea </w:t>
      </w:r>
      <w:r w:rsidR="006B2C5B" w:rsidRPr="00C7420E">
        <w:rPr>
          <w:rFonts w:eastAsiaTheme="minorHAnsi"/>
          <w:i/>
          <w:lang w:eastAsia="en-US"/>
        </w:rPr>
        <w:t>e</w:t>
      </w:r>
      <w:r w:rsidR="006B2C5B">
        <w:rPr>
          <w:rFonts w:eastAsiaTheme="minorHAnsi"/>
          <w:lang w:eastAsia="en-US"/>
        </w:rPr>
        <w:t xml:space="preserve"> do inciso I, bem como de § 6º, passando a vigorar com a seguinte redação</w:t>
      </w:r>
      <w:r w:rsidRPr="0079787B">
        <w:rPr>
          <w:rFonts w:eastAsiaTheme="minorHAnsi"/>
          <w:lang w:eastAsia="en-US"/>
        </w:rPr>
        <w:t>:</w:t>
      </w:r>
    </w:p>
    <w:p w:rsidR="00A10052" w:rsidRPr="00E04EE5" w:rsidRDefault="0092759C" w:rsidP="0092759C">
      <w:pPr>
        <w:pStyle w:val="TranscrioDoutrina"/>
        <w:rPr>
          <w:szCs w:val="24"/>
        </w:rPr>
      </w:pPr>
      <w:bookmarkStart w:id="1" w:name="art1"/>
      <w:bookmarkEnd w:id="1"/>
      <w:r w:rsidRPr="00E04EE5">
        <w:rPr>
          <w:szCs w:val="24"/>
        </w:rPr>
        <w:t>“</w:t>
      </w:r>
      <w:r w:rsidR="00A10052" w:rsidRPr="00E04EE5">
        <w:rPr>
          <w:szCs w:val="24"/>
        </w:rPr>
        <w:t>Art. 1º..............................</w:t>
      </w:r>
      <w:r w:rsidRPr="00E04EE5">
        <w:rPr>
          <w:szCs w:val="24"/>
        </w:rPr>
        <w:t>......................................</w:t>
      </w:r>
    </w:p>
    <w:p w:rsidR="00A10052" w:rsidRPr="00E04EE5" w:rsidRDefault="00A10052" w:rsidP="0092759C">
      <w:pPr>
        <w:pStyle w:val="TranscrioDoutrina"/>
        <w:rPr>
          <w:szCs w:val="24"/>
        </w:rPr>
      </w:pPr>
      <w:bookmarkStart w:id="2" w:name="art1i"/>
      <w:bookmarkEnd w:id="2"/>
      <w:r w:rsidRPr="00E04EE5">
        <w:rPr>
          <w:szCs w:val="24"/>
        </w:rPr>
        <w:t>I - ...................................</w:t>
      </w:r>
      <w:r w:rsidR="0092759C" w:rsidRPr="00E04EE5">
        <w:rPr>
          <w:szCs w:val="24"/>
        </w:rPr>
        <w:t>......................................</w:t>
      </w:r>
    </w:p>
    <w:p w:rsidR="00A10052" w:rsidRPr="00E04EE5" w:rsidRDefault="00A10052" w:rsidP="0092759C">
      <w:pPr>
        <w:pStyle w:val="TranscrioDoutrina"/>
        <w:rPr>
          <w:szCs w:val="24"/>
        </w:rPr>
      </w:pPr>
      <w:bookmarkStart w:id="3" w:name="art1ie"/>
      <w:bookmarkEnd w:id="3"/>
      <w:r w:rsidRPr="00E04EE5">
        <w:rPr>
          <w:szCs w:val="24"/>
        </w:rPr>
        <w:t xml:space="preserve">e) </w:t>
      </w:r>
      <w:r w:rsidR="0092759C" w:rsidRPr="00E04EE5">
        <w:rPr>
          <w:szCs w:val="24"/>
        </w:rPr>
        <w:t>..................</w:t>
      </w:r>
      <w:r w:rsidRPr="00E04EE5">
        <w:rPr>
          <w:szCs w:val="24"/>
        </w:rPr>
        <w:t>....................</w:t>
      </w:r>
      <w:r w:rsidR="0092759C" w:rsidRPr="00E04EE5">
        <w:rPr>
          <w:szCs w:val="24"/>
        </w:rPr>
        <w:t>...................................</w:t>
      </w:r>
    </w:p>
    <w:p w:rsidR="006B2C5B" w:rsidRPr="00E04EE5" w:rsidRDefault="006B2C5B" w:rsidP="006B2C5B">
      <w:pPr>
        <w:pStyle w:val="TranscrioDoutrina"/>
        <w:rPr>
          <w:szCs w:val="24"/>
        </w:rPr>
      </w:pPr>
      <w:r w:rsidRPr="00E04EE5">
        <w:rPr>
          <w:szCs w:val="24"/>
        </w:rPr>
        <w:t xml:space="preserve"> 9. contra a vida e a dignidade sexual;</w:t>
      </w:r>
      <w:r w:rsidR="000A6F21" w:rsidRPr="00E04EE5">
        <w:rPr>
          <w:szCs w:val="24"/>
        </w:rPr>
        <w:t xml:space="preserve"> </w:t>
      </w:r>
      <w:r w:rsidRPr="00E04EE5">
        <w:rPr>
          <w:szCs w:val="24"/>
        </w:rPr>
        <w:t> </w:t>
      </w:r>
    </w:p>
    <w:p w:rsidR="006B2C5B" w:rsidRPr="00E04EE5" w:rsidRDefault="006B2C5B" w:rsidP="006B2C5B">
      <w:pPr>
        <w:pStyle w:val="TranscrioDoutrina"/>
        <w:rPr>
          <w:szCs w:val="24"/>
        </w:rPr>
      </w:pPr>
      <w:r w:rsidRPr="00E04EE5">
        <w:rPr>
          <w:szCs w:val="24"/>
        </w:rPr>
        <w:t xml:space="preserve"> 10. praticados por organização criminosa, quadrilha ou bando;  </w:t>
      </w:r>
      <w:r w:rsidR="00E04EE5" w:rsidRPr="00E04EE5">
        <w:rPr>
          <w:szCs w:val="24"/>
        </w:rPr>
        <w:t>e</w:t>
      </w:r>
    </w:p>
    <w:p w:rsidR="00E04EE5" w:rsidRPr="00E04EE5" w:rsidRDefault="0092759C" w:rsidP="0092759C">
      <w:pPr>
        <w:pStyle w:val="TranscrioDoutrina"/>
        <w:rPr>
          <w:szCs w:val="24"/>
        </w:rPr>
      </w:pPr>
      <w:r w:rsidRPr="00E04EE5">
        <w:rPr>
          <w:szCs w:val="24"/>
        </w:rPr>
        <w:t>11. praticados contra mulheres em situação de</w:t>
      </w:r>
      <w:r w:rsidR="006B2C5B" w:rsidRPr="00E04EE5">
        <w:rPr>
          <w:szCs w:val="24"/>
        </w:rPr>
        <w:t xml:space="preserve"> violência doméstica e familiar</w:t>
      </w:r>
      <w:r w:rsidR="00E04EE5" w:rsidRPr="00E04EE5">
        <w:rPr>
          <w:szCs w:val="24"/>
        </w:rPr>
        <w:t>.</w:t>
      </w:r>
    </w:p>
    <w:p w:rsidR="00E04EE5" w:rsidRPr="00E04EE5" w:rsidRDefault="00E04EE5" w:rsidP="0092759C">
      <w:pPr>
        <w:pStyle w:val="TranscrioDoutrina"/>
        <w:rPr>
          <w:szCs w:val="24"/>
        </w:rPr>
      </w:pPr>
      <w:r w:rsidRPr="00E04EE5">
        <w:rPr>
          <w:szCs w:val="24"/>
        </w:rPr>
        <w:lastRenderedPageBreak/>
        <w:t>....................................................................................</w:t>
      </w:r>
    </w:p>
    <w:p w:rsidR="00A10052" w:rsidRPr="00E04EE5" w:rsidRDefault="00E04EE5" w:rsidP="0092759C">
      <w:pPr>
        <w:pStyle w:val="TranscrioDoutrina"/>
        <w:rPr>
          <w:szCs w:val="24"/>
        </w:rPr>
      </w:pPr>
      <w:r w:rsidRPr="00E04EE5">
        <w:rPr>
          <w:szCs w:val="24"/>
        </w:rPr>
        <w:t xml:space="preserve">§ 6º </w:t>
      </w:r>
      <w:r w:rsidRPr="00E04EE5">
        <w:rPr>
          <w:rStyle w:val="01char"/>
          <w:rFonts w:cs="Arial"/>
          <w:szCs w:val="24"/>
          <w:shd w:val="clear" w:color="auto" w:fill="FFFFFF"/>
        </w:rPr>
        <w:t>São também inelegíveis desde a condenação até o transcurso do prazo de 8 (oito) anos após o cumprimento da sançã</w:t>
      </w:r>
      <w:r>
        <w:rPr>
          <w:rStyle w:val="01char"/>
          <w:rFonts w:cs="Arial"/>
          <w:szCs w:val="24"/>
          <w:shd w:val="clear" w:color="auto" w:fill="FFFFFF"/>
        </w:rPr>
        <w:t>o</w:t>
      </w:r>
      <w:r w:rsidRPr="00E04EE5">
        <w:rPr>
          <w:rStyle w:val="01char"/>
          <w:rFonts w:cs="Arial"/>
          <w:szCs w:val="24"/>
          <w:shd w:val="clear" w:color="auto" w:fill="FFFFFF"/>
        </w:rPr>
        <w:t>,  o</w:t>
      </w:r>
      <w:r w:rsidRPr="00E04EE5">
        <w:rPr>
          <w:szCs w:val="24"/>
        </w:rPr>
        <w:t xml:space="preserve">s </w:t>
      </w:r>
      <w:r w:rsidRPr="00E04EE5">
        <w:rPr>
          <w:rFonts w:cs="Arial"/>
          <w:szCs w:val="24"/>
          <w:shd w:val="clear" w:color="auto" w:fill="FFFFFF"/>
        </w:rPr>
        <w:t xml:space="preserve">que forem condenados </w:t>
      </w:r>
      <w:r w:rsidRPr="00E04EE5">
        <w:rPr>
          <w:rStyle w:val="01char"/>
          <w:rFonts w:cs="Arial"/>
          <w:szCs w:val="24"/>
          <w:shd w:val="clear" w:color="auto" w:fill="FFFFFF"/>
        </w:rPr>
        <w:t>em decisão transitada em julgado ou proferida por órgão judicial colegiado</w:t>
      </w:r>
      <w:r w:rsidRPr="00E04EE5">
        <w:rPr>
          <w:rFonts w:cs="Arial"/>
          <w:szCs w:val="24"/>
          <w:shd w:val="clear" w:color="auto" w:fill="FFFFFF"/>
        </w:rPr>
        <w:t>,</w:t>
      </w:r>
      <w:r>
        <w:rPr>
          <w:rFonts w:cs="Arial"/>
          <w:szCs w:val="24"/>
          <w:shd w:val="clear" w:color="auto" w:fill="FFFFFF"/>
        </w:rPr>
        <w:t xml:space="preserve"> </w:t>
      </w:r>
      <w:r w:rsidR="00EB5A64">
        <w:rPr>
          <w:rFonts w:cs="Arial"/>
          <w:szCs w:val="24"/>
          <w:shd w:val="clear" w:color="auto" w:fill="FFFFFF"/>
        </w:rPr>
        <w:t xml:space="preserve">ao pagamento de indenização ou outra sanção de natureza civil </w:t>
      </w:r>
      <w:r w:rsidRPr="00E04EE5">
        <w:rPr>
          <w:rStyle w:val="01char"/>
          <w:rFonts w:cs="Arial"/>
          <w:szCs w:val="24"/>
          <w:shd w:val="clear" w:color="auto" w:fill="FFFFFF"/>
        </w:rPr>
        <w:t xml:space="preserve">imposta </w:t>
      </w:r>
      <w:r w:rsidRPr="00E04EE5">
        <w:rPr>
          <w:rStyle w:val="01char"/>
          <w:szCs w:val="24"/>
        </w:rPr>
        <w:t xml:space="preserve">em virtude de </w:t>
      </w:r>
      <w:r w:rsidRPr="00E04EE5">
        <w:rPr>
          <w:szCs w:val="24"/>
        </w:rPr>
        <w:t xml:space="preserve">violência doméstica e familiar </w:t>
      </w:r>
      <w:r w:rsidRPr="00E04EE5">
        <w:rPr>
          <w:rStyle w:val="01char"/>
          <w:szCs w:val="24"/>
        </w:rPr>
        <w:t>contra mulheres</w:t>
      </w:r>
      <w:r w:rsidRPr="00E04EE5">
        <w:rPr>
          <w:rStyle w:val="01char"/>
          <w:rFonts w:cs="Arial"/>
          <w:szCs w:val="24"/>
          <w:shd w:val="clear" w:color="auto" w:fill="FFFFFF"/>
        </w:rPr>
        <w:t>.</w:t>
      </w:r>
      <w:r w:rsidR="0092759C" w:rsidRPr="00E04EE5">
        <w:rPr>
          <w:szCs w:val="24"/>
        </w:rPr>
        <w:t>(NR)”</w:t>
      </w:r>
    </w:p>
    <w:p w:rsidR="00450BB3" w:rsidRDefault="00B2477E" w:rsidP="00450BB3">
      <w:pPr>
        <w:pStyle w:val="CorpoPadro"/>
      </w:pPr>
      <w:bookmarkStart w:id="4" w:name="art1ie9"/>
      <w:bookmarkEnd w:id="4"/>
      <w:r>
        <w:t>Art.</w:t>
      </w:r>
      <w:r w:rsidR="005E0365">
        <w:t xml:space="preserve"> </w:t>
      </w:r>
      <w:r w:rsidR="009D53C1">
        <w:t>3</w:t>
      </w:r>
      <w:r w:rsidR="005E0365">
        <w:t xml:space="preserve">º Esta </w:t>
      </w:r>
      <w:r w:rsidR="009D53C1">
        <w:t>L</w:t>
      </w:r>
      <w:r w:rsidR="005E0365">
        <w:t xml:space="preserve">ei </w:t>
      </w:r>
      <w:r w:rsidR="006D3D59">
        <w:t xml:space="preserve">Complementar </w:t>
      </w:r>
      <w:r w:rsidR="005E0365">
        <w:t>entra em vigor na data de sua publicação.</w:t>
      </w:r>
    </w:p>
    <w:p w:rsidR="00F24CCA" w:rsidRPr="00927DF5" w:rsidRDefault="00B2477E" w:rsidP="00927DF5">
      <w:pPr>
        <w:pStyle w:val="CorpoPadro"/>
        <w:keepNext/>
        <w:spacing w:before="600" w:after="754"/>
        <w:ind w:firstLine="0"/>
        <w:jc w:val="center"/>
        <w:outlineLvl w:val="2"/>
        <w:rPr>
          <w:b/>
          <w:sz w:val="28"/>
        </w:rPr>
      </w:pPr>
      <w:r w:rsidRPr="00927DF5">
        <w:rPr>
          <w:b/>
          <w:sz w:val="28"/>
        </w:rPr>
        <w:t>JUSTIFICAÇÃO</w:t>
      </w:r>
    </w:p>
    <w:p w:rsidR="000E318C" w:rsidRPr="00AC3F86" w:rsidRDefault="00EB5A64" w:rsidP="00937CCE">
      <w:pPr>
        <w:pStyle w:val="CorpoPadro"/>
      </w:pPr>
      <w:r w:rsidRPr="00AC3F86">
        <w:t xml:space="preserve">A inelegibilidade consiste na ausência de capacidade eleitoral passiva, ou seja, da condição de ser candidato e, consequentemente, poder ser votado, constituindo-se, portanto, em condição obstativa ao exercício passivo da cidadania. </w:t>
      </w:r>
    </w:p>
    <w:p w:rsidR="004A0DC7" w:rsidRDefault="00EB5A64" w:rsidP="00937CCE">
      <w:pPr>
        <w:pStyle w:val="CorpoPadro"/>
      </w:pPr>
      <w:r w:rsidRPr="00AC3F86">
        <w:t>Com efeito, a Constituição da República Federativa do Brasil traz, no capítulo dedicado aos direitos políticos, normas gerais sobre inelegibil</w:t>
      </w:r>
      <w:r w:rsidR="00291A26">
        <w:t>idades (art. 14, §§ 4º a 7º). A</w:t>
      </w:r>
      <w:r w:rsidRPr="00AC3F86">
        <w:t>crescenta (</w:t>
      </w:r>
      <w:r w:rsidR="000A6F21">
        <w:t xml:space="preserve">art. 14, </w:t>
      </w:r>
      <w:r w:rsidRPr="00AC3F86">
        <w:t xml:space="preserve">§ 9º) que compete à lei complementar estabelecer outros casos, além de mencionados no texto constitucional, bem como os prazos de sua cessação, </w:t>
      </w:r>
      <w:r w:rsidR="000E318C" w:rsidRPr="00AC3F86">
        <w:t>com o fim de proteger a probidade administrativa, a moralidade para o exercício do mandato, e a normalidade e legitimidade das eleições contra a influência do poder econômico ou do abuso do exercício de função, cargo ou emprego na administração direta ou indireta, conforme expressa previsão constitucional (art. 14, § 9</w:t>
      </w:r>
      <w:proofErr w:type="gramStart"/>
      <w:r w:rsidR="000E318C" w:rsidRPr="00AC3F86">
        <w:t>º )</w:t>
      </w:r>
      <w:proofErr w:type="gramEnd"/>
      <w:r w:rsidR="000E318C" w:rsidRPr="00AC3F86">
        <w:t xml:space="preserve">. </w:t>
      </w:r>
    </w:p>
    <w:p w:rsidR="000E318C" w:rsidRPr="00AC3F86" w:rsidRDefault="00EB5A64" w:rsidP="00937CCE">
      <w:pPr>
        <w:pStyle w:val="CorpoPadro"/>
      </w:pPr>
      <w:r w:rsidRPr="00AC3F86">
        <w:t xml:space="preserve">Inaptidão jurídica para receber voto, </w:t>
      </w:r>
      <w:r w:rsidR="000E318C" w:rsidRPr="00AC3F86">
        <w:t xml:space="preserve">a inelegibilidade </w:t>
      </w:r>
      <w:r w:rsidRPr="00AC3F86">
        <w:t>obsta</w:t>
      </w:r>
      <w:r w:rsidR="000E318C" w:rsidRPr="00AC3F86">
        <w:t>, pois,</w:t>
      </w:r>
      <w:r w:rsidRPr="00AC3F86">
        <w:t xml:space="preserve"> a existência da candidatura, independentemente da manifestação do partido ou do próprio interessado. A ausência, pura e simples, de um dos requisitos da elegibilidade é que, neste caso, impede o seu surgimento e, por via oblíqua, de candidatura. Pode</w:t>
      </w:r>
      <w:r w:rsidR="000E318C" w:rsidRPr="00AC3F86">
        <w:t>-</w:t>
      </w:r>
      <w:r w:rsidRPr="00AC3F86">
        <w:t xml:space="preserve"> se</w:t>
      </w:r>
      <w:r w:rsidR="000E318C" w:rsidRPr="00AC3F86">
        <w:t xml:space="preserve"> assim </w:t>
      </w:r>
      <w:r w:rsidRPr="00AC3F86">
        <w:t>afirmar que a inelegibilidade é a impossibilidade legal de alguém pleitear seu registro como postulante a todos ou a alguns dos cargos eletivos, isto é, a um impedimento absoluto ou relativo ao poder de candidatar-se a um mandado eletivo.</w:t>
      </w:r>
    </w:p>
    <w:p w:rsidR="00937CCE" w:rsidRPr="00AC3F86" w:rsidRDefault="00937CCE" w:rsidP="00937CCE">
      <w:pPr>
        <w:pStyle w:val="CorpoPadro"/>
      </w:pPr>
      <w:r w:rsidRPr="00AC3F86">
        <w:lastRenderedPageBreak/>
        <w:t xml:space="preserve">A </w:t>
      </w:r>
      <w:r w:rsidRPr="004A0DC7">
        <w:rPr>
          <w:b/>
        </w:rPr>
        <w:t xml:space="preserve">Lei </w:t>
      </w:r>
      <w:r w:rsidR="00EB5A64" w:rsidRPr="004A0DC7">
        <w:rPr>
          <w:b/>
        </w:rPr>
        <w:t>de Inelegibilidade</w:t>
      </w:r>
      <w:r w:rsidR="00EB5A64" w:rsidRPr="00AC3F86">
        <w:t xml:space="preserve"> (Lei </w:t>
      </w:r>
      <w:r w:rsidRPr="00AC3F86">
        <w:t xml:space="preserve">Complementar nº 64, de 18 de maio de 1990), </w:t>
      </w:r>
      <w:r w:rsidR="00EB5A64" w:rsidRPr="00AC3F86">
        <w:t xml:space="preserve">alterada pela </w:t>
      </w:r>
      <w:r w:rsidR="00EB5A64" w:rsidRPr="004A0DC7">
        <w:rPr>
          <w:b/>
        </w:rPr>
        <w:t>Lei da Ficha Limpa</w:t>
      </w:r>
      <w:r w:rsidR="00EB5A64" w:rsidRPr="00AC3F86">
        <w:t xml:space="preserve"> (Lei Complementar nº 135, de 4 de junho de 2010)</w:t>
      </w:r>
      <w:r w:rsidR="000E318C" w:rsidRPr="00AC3F86">
        <w:t xml:space="preserve">, com o objeto de regulamentar a norma prevista no § </w:t>
      </w:r>
      <w:r w:rsidR="00EB5A64" w:rsidRPr="00AC3F86">
        <w:t xml:space="preserve"> </w:t>
      </w:r>
      <w:r w:rsidR="000E318C" w:rsidRPr="00AC3F86">
        <w:t xml:space="preserve">9º do art. 14 da Constituição, </w:t>
      </w:r>
      <w:r w:rsidRPr="00AC3F86">
        <w:t>determina</w:t>
      </w:r>
      <w:r w:rsidR="00AC3F86">
        <w:t>, entre outras hipóteses,</w:t>
      </w:r>
      <w:r w:rsidRPr="00AC3F86">
        <w:t xml:space="preserve"> serem inelegíveis para qualquer cargo os que forem condenados, em decisão transitada em julgado ou proferida por órgão judicial colegiado, desde a condenação até o transcurso do prazo de oito anos após o cumprimento da pena, pelos crimes contra a economia popular, a fé pública, a administração pública e o patrimônio público;</w:t>
      </w:r>
      <w:bookmarkStart w:id="5" w:name="art1ie2"/>
      <w:bookmarkEnd w:id="5"/>
      <w:r w:rsidRPr="00AC3F86">
        <w:t xml:space="preserve"> contra o patrimônio privado, o sistema financeiro, o mercado de capitais e os previstos na lei que regula a falência;</w:t>
      </w:r>
      <w:bookmarkStart w:id="6" w:name="art1ie3"/>
      <w:bookmarkEnd w:id="6"/>
      <w:r w:rsidRPr="00AC3F86">
        <w:t xml:space="preserve"> contra o meio ambiente e a saúde pública; eleitorais, para os quais a lei comine pena privativa de liberdade;</w:t>
      </w:r>
      <w:bookmarkStart w:id="7" w:name="art1ie5"/>
      <w:bookmarkEnd w:id="7"/>
      <w:r w:rsidRPr="00AC3F86">
        <w:t xml:space="preserve"> de abuso de autoridade, nos casos em que houver condenação à perda do cargo ou à inabilitação para o exercício de função pública; de lavagem ou ocultação de bens, direitos e valores;</w:t>
      </w:r>
      <w:bookmarkStart w:id="8" w:name="art1ie7"/>
      <w:bookmarkEnd w:id="8"/>
      <w:r w:rsidRPr="00AC3F86">
        <w:t xml:space="preserve"> de tráfico de entorpecentes e drogas afins, racismo, tortura, terrorismo e hediondos; de redução à condição análoga à de escravo; contra a vida e a dignidade sexual; e</w:t>
      </w:r>
      <w:bookmarkStart w:id="9" w:name="art1ie10"/>
      <w:bookmarkEnd w:id="9"/>
      <w:r w:rsidRPr="00AC3F86">
        <w:t xml:space="preserve"> praticados por organização criminosa, quadrilha ou bando</w:t>
      </w:r>
      <w:r w:rsidR="00751590" w:rsidRPr="00AC3F86">
        <w:t xml:space="preserve"> (art. 1º, inciso I, alínea e)</w:t>
      </w:r>
      <w:r w:rsidRPr="00AC3F86">
        <w:t>.</w:t>
      </w:r>
    </w:p>
    <w:p w:rsidR="00751F50" w:rsidRPr="00AC3F86" w:rsidRDefault="00291A26">
      <w:pPr>
        <w:pStyle w:val="CorpoPadro"/>
      </w:pPr>
      <w:r>
        <w:t>O projeto de l</w:t>
      </w:r>
      <w:r w:rsidR="00937CCE" w:rsidRPr="00AC3F86">
        <w:t>ei</w:t>
      </w:r>
      <w:r>
        <w:t xml:space="preserve"> c</w:t>
      </w:r>
      <w:r w:rsidR="00A35367" w:rsidRPr="00AC3F86">
        <w:t>omplementar</w:t>
      </w:r>
      <w:r w:rsidR="00937CCE" w:rsidRPr="00AC3F86">
        <w:t xml:space="preserve"> ora apresentado pretende acrescentar às </w:t>
      </w:r>
      <w:r w:rsidR="00A35367" w:rsidRPr="00AC3F86">
        <w:t xml:space="preserve">referidas </w:t>
      </w:r>
      <w:r w:rsidR="00937CCE" w:rsidRPr="00AC3F86">
        <w:t xml:space="preserve">hipóteses os crimes </w:t>
      </w:r>
      <w:r w:rsidR="000E318C" w:rsidRPr="00AC3F86">
        <w:t xml:space="preserve">e demais atos </w:t>
      </w:r>
      <w:r w:rsidR="00937CCE" w:rsidRPr="00AC3F86">
        <w:t xml:space="preserve">praticados contra mulheres em situação de violência doméstica e familiar, </w:t>
      </w:r>
      <w:r w:rsidR="000E318C" w:rsidRPr="00AC3F86">
        <w:t>estando os fatos típicos</w:t>
      </w:r>
      <w:r w:rsidR="00A35367" w:rsidRPr="00AC3F86">
        <w:t xml:space="preserve"> descritos</w:t>
      </w:r>
      <w:r w:rsidR="00CE05FD" w:rsidRPr="00AC3F86">
        <w:t xml:space="preserve"> no diploma legal conhecido como </w:t>
      </w:r>
      <w:r w:rsidR="00937CCE" w:rsidRPr="004A0DC7">
        <w:rPr>
          <w:b/>
        </w:rPr>
        <w:t>Lei Maria da Penha</w:t>
      </w:r>
      <w:r w:rsidR="00937CCE" w:rsidRPr="00AC3F86">
        <w:t xml:space="preserve"> (Lei </w:t>
      </w:r>
      <w:r w:rsidR="00A35367" w:rsidRPr="00AC3F86">
        <w:t xml:space="preserve">nº </w:t>
      </w:r>
      <w:r w:rsidR="00937CCE" w:rsidRPr="00AC3F86">
        <w:t xml:space="preserve">11.340, de </w:t>
      </w:r>
      <w:r w:rsidR="00A35367" w:rsidRPr="00AC3F86">
        <w:t xml:space="preserve">7 de agosto de </w:t>
      </w:r>
      <w:r w:rsidR="00937CCE" w:rsidRPr="00AC3F86">
        <w:t>2006</w:t>
      </w:r>
      <w:r w:rsidR="00A35367" w:rsidRPr="00AC3F86">
        <w:t>), que cria mecanismos para coibir a violência doméstica e familiar contra a mulher, nos termos do § 8</w:t>
      </w:r>
      <w:r w:rsidR="00AC3F86">
        <w:t>º</w:t>
      </w:r>
      <w:r w:rsidR="00A35367" w:rsidRPr="00AC3F86">
        <w:t xml:space="preserve"> do art. 226 da Constituição Federal, da Convenção sobre a Eliminação de Todas as Formas de Discriminação contra as Mulheres e da Convenção Interamericana para Prevenir, Punir e Erradicar a Violência contra a Mulher, alterando o Código de Processo Penal, o Código Penal e a Lei de Execução Penal.</w:t>
      </w:r>
    </w:p>
    <w:p w:rsidR="00751590" w:rsidRDefault="000E318C">
      <w:pPr>
        <w:pStyle w:val="CorpoPadro"/>
      </w:pPr>
      <w:r>
        <w:t xml:space="preserve">Uma vez que a </w:t>
      </w:r>
      <w:r w:rsidR="009D7EC0">
        <w:t xml:space="preserve">falta de </w:t>
      </w:r>
      <w:r>
        <w:t>moralidade para o exercício do ma</w:t>
      </w:r>
      <w:r w:rsidR="009D7EC0">
        <w:t>ndato é um valor que o constituinte considerou conspurcar por si só o processo eleitoral, revelando o indiscutível fundamento ético das inelegibilidades, cremos</w:t>
      </w:r>
      <w:r w:rsidR="00751590">
        <w:t xml:space="preserve"> que o </w:t>
      </w:r>
      <w:r w:rsidR="00AC3F86">
        <w:t>repúdio</w:t>
      </w:r>
      <w:r w:rsidR="00751590">
        <w:t xml:space="preserve"> à violência doméstica e familiar contra a mulher deve ser </w:t>
      </w:r>
      <w:r w:rsidR="00AC3F86">
        <w:t>demonstrad</w:t>
      </w:r>
      <w:r w:rsidR="00751590">
        <w:t xml:space="preserve">o </w:t>
      </w:r>
      <w:r w:rsidR="00AC3F86">
        <w:t>também na frente eleitoral</w:t>
      </w:r>
      <w:r w:rsidR="00751590">
        <w:t xml:space="preserve">, </w:t>
      </w:r>
      <w:r w:rsidR="0020216A">
        <w:t>conclamando também desta forma à</w:t>
      </w:r>
      <w:r w:rsidR="00751590">
        <w:t xml:space="preserve"> </w:t>
      </w:r>
      <w:r w:rsidR="00CE05FD">
        <w:t>erradicação</w:t>
      </w:r>
      <w:r w:rsidR="00751590">
        <w:t xml:space="preserve"> </w:t>
      </w:r>
      <w:r w:rsidR="00CE05FD">
        <w:t xml:space="preserve">definitiva </w:t>
      </w:r>
      <w:r w:rsidR="00751590">
        <w:t xml:space="preserve">dessa </w:t>
      </w:r>
      <w:r w:rsidR="005667D9">
        <w:t>execrável</w:t>
      </w:r>
      <w:r w:rsidR="00CE05FD">
        <w:t xml:space="preserve"> </w:t>
      </w:r>
      <w:r w:rsidR="00751590">
        <w:t xml:space="preserve">forma de </w:t>
      </w:r>
      <w:r w:rsidR="009D7EC0">
        <w:t>violação dos direitos humanos ainda presente em todos os segmentos sociais e com números assustadores</w:t>
      </w:r>
      <w:r w:rsidR="00751590">
        <w:t>.</w:t>
      </w:r>
    </w:p>
    <w:p w:rsidR="00AC3F86" w:rsidRDefault="0020216A">
      <w:pPr>
        <w:pStyle w:val="CorpoPadro"/>
      </w:pPr>
      <w:r>
        <w:lastRenderedPageBreak/>
        <w:t xml:space="preserve">Mais que isso, e sabendo ainda que em regra </w:t>
      </w:r>
      <w:r w:rsidRPr="00AC3F86">
        <w:t xml:space="preserve">o autor de violência </w:t>
      </w:r>
      <w:r>
        <w:t xml:space="preserve">demonstra </w:t>
      </w:r>
      <w:r w:rsidRPr="00AC3F86">
        <w:t xml:space="preserve">uma conduta social ilibada, tendo </w:t>
      </w:r>
      <w:r>
        <w:t>no entanto</w:t>
      </w:r>
      <w:r w:rsidRPr="00AC3F86">
        <w:t xml:space="preserve"> incorporado um padrão de relacionamento em que o homem exerce poder sobre a mulher e acredita ter o direito de repreendê-la ou castigá-la</w:t>
      </w:r>
      <w:r>
        <w:t>, cremos</w:t>
      </w:r>
      <w:r w:rsidR="009D7EC0">
        <w:t xml:space="preserve"> não poder ser detentor de um mandato eletivo aquele que comete agressão </w:t>
      </w:r>
      <w:r w:rsidR="00CE05FD">
        <w:t>contra a mulher</w:t>
      </w:r>
      <w:r w:rsidR="00AC3F86">
        <w:t xml:space="preserve">, sobretudo </w:t>
      </w:r>
      <w:r>
        <w:t xml:space="preserve">quando </w:t>
      </w:r>
      <w:r w:rsidR="00AC3F86">
        <w:t>a ele emocionalmente ligada</w:t>
      </w:r>
      <w:r w:rsidR="00AC3F86" w:rsidRPr="00AC3F86">
        <w:t>.</w:t>
      </w:r>
    </w:p>
    <w:p w:rsidR="00B85E3A" w:rsidRDefault="00AC3F86">
      <w:pPr>
        <w:pStyle w:val="CorpoPadro"/>
      </w:pPr>
      <w:r>
        <w:t>Acreditando que o acréscimo, às hipóteses de inelegibilidade, da condenação</w:t>
      </w:r>
      <w:r w:rsidR="0020216A">
        <w:t xml:space="preserve"> civil ou criminal, </w:t>
      </w:r>
      <w:r w:rsidRPr="0092759C">
        <w:rPr>
          <w:rStyle w:val="01char"/>
        </w:rPr>
        <w:t xml:space="preserve">em decisão transitada em julgado ou proferida por órgão judicial colegiado, em </w:t>
      </w:r>
      <w:r>
        <w:rPr>
          <w:rStyle w:val="01char"/>
        </w:rPr>
        <w:t>virtude</w:t>
      </w:r>
      <w:r w:rsidRPr="0092759C">
        <w:rPr>
          <w:rStyle w:val="01char"/>
        </w:rPr>
        <w:t xml:space="preserve"> de </w:t>
      </w:r>
      <w:r w:rsidRPr="0092759C">
        <w:t>violência doméstica e familiar</w:t>
      </w:r>
      <w:r>
        <w:t xml:space="preserve"> </w:t>
      </w:r>
      <w:r w:rsidRPr="0092759C">
        <w:rPr>
          <w:rStyle w:val="01char"/>
        </w:rPr>
        <w:t>contra mulheres</w:t>
      </w:r>
      <w:r>
        <w:rPr>
          <w:rStyle w:val="01char"/>
        </w:rPr>
        <w:t xml:space="preserve">, </w:t>
      </w:r>
      <w:r w:rsidR="00600388">
        <w:t>aperfeiçoa</w:t>
      </w:r>
      <w:r>
        <w:t xml:space="preserve">rá </w:t>
      </w:r>
      <w:r w:rsidR="00600388">
        <w:t xml:space="preserve">o sistema eleitoral brasileiro, conclamamos os nobres Pares do Congresso Nacional </w:t>
      </w:r>
      <w:r w:rsidR="00111C3F">
        <w:t xml:space="preserve">a atuarem </w:t>
      </w:r>
      <w:r w:rsidR="00600388">
        <w:t>pel</w:t>
      </w:r>
      <w:r>
        <w:t>a</w:t>
      </w:r>
      <w:r w:rsidR="00600388">
        <w:t xml:space="preserve"> </w:t>
      </w:r>
      <w:r>
        <w:t>sua</w:t>
      </w:r>
      <w:r w:rsidR="00600388">
        <w:t xml:space="preserve"> aprovação.</w:t>
      </w:r>
    </w:p>
    <w:p w:rsidR="00F24CCA" w:rsidRDefault="00B2477E" w:rsidP="00927DF5">
      <w:pPr>
        <w:pStyle w:val="data"/>
      </w:pPr>
      <w:r>
        <w:t>Sala das Sessões, em         de                         de 201</w:t>
      </w:r>
      <w:r w:rsidR="00A1456A">
        <w:t>5</w:t>
      </w:r>
      <w:r>
        <w:t>.</w:t>
      </w:r>
    </w:p>
    <w:p w:rsidR="009D53C1" w:rsidRDefault="0020216A" w:rsidP="00927DF5">
      <w:pPr>
        <w:keepNext/>
        <w:widowControl w:val="0"/>
        <w:spacing w:line="360" w:lineRule="exact"/>
        <w:ind w:left="1701"/>
        <w:jc w:val="center"/>
        <w:outlineLvl w:val="3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snapToGrid w:val="0"/>
          <w:color w:val="000000"/>
          <w:sz w:val="24"/>
        </w:rPr>
        <w:t xml:space="preserve">Deputado </w:t>
      </w:r>
      <w:r w:rsidR="00927DF5" w:rsidRPr="00927DF5">
        <w:rPr>
          <w:rFonts w:ascii="Arial" w:hAnsi="Arial"/>
          <w:snapToGrid w:val="0"/>
          <w:color w:val="000000"/>
          <w:sz w:val="24"/>
        </w:rPr>
        <w:t>JOÃO DERLY</w:t>
      </w:r>
    </w:p>
    <w:p w:rsidR="00E43BBB" w:rsidRDefault="00E43BBB" w:rsidP="00927DF5">
      <w:pPr>
        <w:keepNext/>
        <w:widowControl w:val="0"/>
        <w:spacing w:line="360" w:lineRule="exact"/>
        <w:ind w:left="1701"/>
        <w:jc w:val="center"/>
        <w:outlineLvl w:val="3"/>
        <w:rPr>
          <w:rFonts w:ascii="Arial" w:hAnsi="Arial"/>
          <w:snapToGrid w:val="0"/>
          <w:color w:val="000000"/>
          <w:sz w:val="24"/>
        </w:rPr>
      </w:pPr>
    </w:p>
    <w:p w:rsidR="00E43BBB" w:rsidRDefault="00E43BBB" w:rsidP="00927DF5">
      <w:pPr>
        <w:keepNext/>
        <w:widowControl w:val="0"/>
        <w:spacing w:line="360" w:lineRule="exact"/>
        <w:ind w:left="1701"/>
        <w:jc w:val="center"/>
        <w:outlineLvl w:val="3"/>
        <w:rPr>
          <w:rFonts w:ascii="Arial" w:hAnsi="Arial"/>
          <w:snapToGrid w:val="0"/>
          <w:color w:val="000000"/>
          <w:sz w:val="24"/>
        </w:rPr>
      </w:pPr>
    </w:p>
    <w:p w:rsidR="00E43BBB" w:rsidRDefault="00E43BBB" w:rsidP="00927DF5">
      <w:pPr>
        <w:keepNext/>
        <w:widowControl w:val="0"/>
        <w:spacing w:line="360" w:lineRule="exact"/>
        <w:ind w:left="1701"/>
        <w:jc w:val="center"/>
        <w:outlineLvl w:val="3"/>
        <w:rPr>
          <w:rFonts w:ascii="Arial" w:hAnsi="Arial"/>
          <w:snapToGrid w:val="0"/>
          <w:color w:val="000000"/>
          <w:sz w:val="24"/>
        </w:rPr>
      </w:pPr>
    </w:p>
    <w:p w:rsidR="00E43BBB" w:rsidRPr="00927DF5" w:rsidRDefault="00E43BBB" w:rsidP="00927DF5">
      <w:pPr>
        <w:keepNext/>
        <w:widowControl w:val="0"/>
        <w:spacing w:line="360" w:lineRule="exact"/>
        <w:ind w:left="1701"/>
        <w:jc w:val="center"/>
        <w:outlineLvl w:val="3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snapToGrid w:val="0"/>
          <w:color w:val="000000"/>
          <w:sz w:val="24"/>
        </w:rPr>
        <w:t>Deputado ALIEL MACHADO</w:t>
      </w: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CE05FD" w:rsidRDefault="00CE05FD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927DF5" w:rsidRDefault="00927DF5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</w:p>
    <w:p w:rsidR="00927DF5" w:rsidRDefault="00927DF5" w:rsidP="009D53C1">
      <w:pPr>
        <w:widowControl w:val="0"/>
        <w:spacing w:line="360" w:lineRule="exact"/>
        <w:rPr>
          <w:rFonts w:ascii="Arial" w:hAnsi="Arial"/>
          <w:snapToGrid w:val="0"/>
          <w:color w:val="000000"/>
          <w:sz w:val="16"/>
        </w:rPr>
      </w:pPr>
      <w:bookmarkStart w:id="10" w:name="_GoBack"/>
      <w:bookmarkEnd w:id="10"/>
    </w:p>
    <w:sectPr w:rsidR="00927DF5">
      <w:headerReference w:type="even" r:id="rId7"/>
      <w:headerReference w:type="default" r:id="rId8"/>
      <w:pgSz w:w="11908" w:h="16833"/>
      <w:pgMar w:top="1985" w:right="1701" w:bottom="1134" w:left="1701" w:header="794" w:footer="79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2EB" w:rsidRDefault="007742EB">
      <w:r>
        <w:separator/>
      </w:r>
    </w:p>
  </w:endnote>
  <w:endnote w:type="continuationSeparator" w:id="0">
    <w:p w:rsidR="007742EB" w:rsidRDefault="00774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rlito"/>
    <w:panose1 w:val="020F050202020403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2EB" w:rsidRDefault="007742EB">
      <w:r>
        <w:separator/>
      </w:r>
    </w:p>
  </w:footnote>
  <w:footnote w:type="continuationSeparator" w:id="0">
    <w:p w:rsidR="007742EB" w:rsidRDefault="00774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CCA" w:rsidRDefault="00B2477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24CCA" w:rsidRDefault="00F24CCA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CCA" w:rsidRDefault="00B2477E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360"/>
      <w:jc w:val="right"/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pgNum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E78"/>
    <w:rsid w:val="00034761"/>
    <w:rsid w:val="00057F72"/>
    <w:rsid w:val="000859CA"/>
    <w:rsid w:val="000A6F21"/>
    <w:rsid w:val="000B6256"/>
    <w:rsid w:val="000C0049"/>
    <w:rsid w:val="000C209D"/>
    <w:rsid w:val="000E318C"/>
    <w:rsid w:val="00102DD4"/>
    <w:rsid w:val="00111C3F"/>
    <w:rsid w:val="001609E4"/>
    <w:rsid w:val="001843E2"/>
    <w:rsid w:val="001B67BE"/>
    <w:rsid w:val="001B7A66"/>
    <w:rsid w:val="001D3A44"/>
    <w:rsid w:val="001F6D1D"/>
    <w:rsid w:val="0020216A"/>
    <w:rsid w:val="00210B5B"/>
    <w:rsid w:val="0021520D"/>
    <w:rsid w:val="00282587"/>
    <w:rsid w:val="00291A26"/>
    <w:rsid w:val="002D15E3"/>
    <w:rsid w:val="00344991"/>
    <w:rsid w:val="0035203D"/>
    <w:rsid w:val="003B6C36"/>
    <w:rsid w:val="003B7B2F"/>
    <w:rsid w:val="003C5A4F"/>
    <w:rsid w:val="00402D72"/>
    <w:rsid w:val="004468AA"/>
    <w:rsid w:val="00450BB3"/>
    <w:rsid w:val="00491066"/>
    <w:rsid w:val="004A0DC7"/>
    <w:rsid w:val="004D1A55"/>
    <w:rsid w:val="004E6464"/>
    <w:rsid w:val="00502D83"/>
    <w:rsid w:val="00512F09"/>
    <w:rsid w:val="00526440"/>
    <w:rsid w:val="00562907"/>
    <w:rsid w:val="005667D9"/>
    <w:rsid w:val="005B37F6"/>
    <w:rsid w:val="005B467D"/>
    <w:rsid w:val="005E0365"/>
    <w:rsid w:val="00600388"/>
    <w:rsid w:val="00605D49"/>
    <w:rsid w:val="0069178B"/>
    <w:rsid w:val="006B2C5B"/>
    <w:rsid w:val="006D3D59"/>
    <w:rsid w:val="006D4110"/>
    <w:rsid w:val="0070415B"/>
    <w:rsid w:val="00751590"/>
    <w:rsid w:val="00751F50"/>
    <w:rsid w:val="00765453"/>
    <w:rsid w:val="007742EB"/>
    <w:rsid w:val="0079787B"/>
    <w:rsid w:val="007B1B3F"/>
    <w:rsid w:val="00896483"/>
    <w:rsid w:val="0092759C"/>
    <w:rsid w:val="00927DF5"/>
    <w:rsid w:val="00937CCE"/>
    <w:rsid w:val="009575B7"/>
    <w:rsid w:val="00990C07"/>
    <w:rsid w:val="009D53C1"/>
    <w:rsid w:val="009D7EC0"/>
    <w:rsid w:val="009F2782"/>
    <w:rsid w:val="00A10052"/>
    <w:rsid w:val="00A1456A"/>
    <w:rsid w:val="00A35367"/>
    <w:rsid w:val="00A6469C"/>
    <w:rsid w:val="00A8407B"/>
    <w:rsid w:val="00AA414B"/>
    <w:rsid w:val="00AC3F86"/>
    <w:rsid w:val="00AE1E64"/>
    <w:rsid w:val="00AE4482"/>
    <w:rsid w:val="00B2477E"/>
    <w:rsid w:val="00B250A7"/>
    <w:rsid w:val="00B25994"/>
    <w:rsid w:val="00B4351A"/>
    <w:rsid w:val="00B621D9"/>
    <w:rsid w:val="00B85E3A"/>
    <w:rsid w:val="00BB14D1"/>
    <w:rsid w:val="00BD2F82"/>
    <w:rsid w:val="00C05796"/>
    <w:rsid w:val="00C63E78"/>
    <w:rsid w:val="00C7420E"/>
    <w:rsid w:val="00C85BC5"/>
    <w:rsid w:val="00C94D60"/>
    <w:rsid w:val="00CA6469"/>
    <w:rsid w:val="00CE05FD"/>
    <w:rsid w:val="00D707DE"/>
    <w:rsid w:val="00D831E2"/>
    <w:rsid w:val="00DC2AF4"/>
    <w:rsid w:val="00E03348"/>
    <w:rsid w:val="00E04EE5"/>
    <w:rsid w:val="00E43BBB"/>
    <w:rsid w:val="00EA4A46"/>
    <w:rsid w:val="00EB5A64"/>
    <w:rsid w:val="00ED783F"/>
    <w:rsid w:val="00F214F3"/>
    <w:rsid w:val="00F24CCA"/>
    <w:rsid w:val="00F3776D"/>
    <w:rsid w:val="00F856C8"/>
    <w:rsid w:val="00F9249E"/>
    <w:rsid w:val="00FB0864"/>
    <w:rsid w:val="00FD304F"/>
    <w:rsid w:val="00FE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B7D5B-CBFA-4A7C-B708-682ECA443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spacing w:before="1786" w:line="360" w:lineRule="exact"/>
      <w:jc w:val="center"/>
      <w:outlineLvl w:val="1"/>
    </w:pPr>
    <w:rPr>
      <w:rFonts w:ascii="Arial" w:hAnsi="Arial"/>
      <w:b/>
      <w:caps/>
      <w:snapToGrid w:val="0"/>
      <w:color w:val="000000"/>
      <w:sz w:val="28"/>
    </w:rPr>
  </w:style>
  <w:style w:type="paragraph" w:styleId="Ttulo3">
    <w:name w:val="heading 3"/>
    <w:basedOn w:val="Normal"/>
    <w:next w:val="Normal"/>
    <w:autoRedefine/>
    <w:qFormat/>
    <w:rsid w:val="00CE05FD"/>
    <w:pPr>
      <w:spacing w:before="600" w:after="960" w:line="360" w:lineRule="exact"/>
      <w:jc w:val="center"/>
      <w:outlineLvl w:val="2"/>
    </w:pPr>
    <w:rPr>
      <w:rFonts w:ascii="Arial" w:hAnsi="Arial"/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pPr>
      <w:keepNext/>
      <w:widowControl w:val="0"/>
      <w:spacing w:before="554" w:after="754" w:line="360" w:lineRule="exact"/>
      <w:jc w:val="both"/>
      <w:outlineLvl w:val="3"/>
    </w:pPr>
    <w:rPr>
      <w:rFonts w:ascii="Arial" w:hAnsi="Arial"/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styleId="Ttulo">
    <w:name w:val="Title"/>
    <w:basedOn w:val="Normal"/>
    <w:qFormat/>
    <w:pPr>
      <w:widowControl w:val="0"/>
      <w:spacing w:line="360" w:lineRule="exact"/>
      <w:jc w:val="center"/>
    </w:pPr>
    <w:rPr>
      <w:rFonts w:ascii="Arial" w:hAnsi="Arial"/>
      <w:b/>
      <w:snapToGrid w:val="0"/>
      <w:color w:val="000000"/>
      <w:sz w:val="28"/>
    </w:r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/>
      <w:noProof/>
      <w:snapToGrid w:val="0"/>
      <w:color w:val="000000"/>
      <w:sz w:val="24"/>
    </w:rPr>
  </w:style>
  <w:style w:type="character" w:customStyle="1" w:styleId="apple-converted-space">
    <w:name w:val="apple-converted-space"/>
    <w:basedOn w:val="Fontepargpadro"/>
    <w:rsid w:val="00CA6469"/>
  </w:style>
  <w:style w:type="paragraph" w:styleId="NormalWeb">
    <w:name w:val="Normal (Web)"/>
    <w:basedOn w:val="Normal"/>
    <w:uiPriority w:val="99"/>
    <w:semiHidden/>
    <w:unhideWhenUsed/>
    <w:rsid w:val="00A10052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10052"/>
    <w:rPr>
      <w:color w:val="0000FF"/>
      <w:u w:val="single"/>
    </w:rPr>
  </w:style>
  <w:style w:type="paragraph" w:customStyle="1" w:styleId="artart">
    <w:name w:val="artart"/>
    <w:basedOn w:val="Normal"/>
    <w:rsid w:val="00A10052"/>
    <w:pPr>
      <w:spacing w:before="100" w:beforeAutospacing="1" w:after="100" w:afterAutospacing="1"/>
    </w:pPr>
    <w:rPr>
      <w:sz w:val="24"/>
      <w:szCs w:val="24"/>
    </w:rPr>
  </w:style>
  <w:style w:type="character" w:customStyle="1" w:styleId="01char">
    <w:name w:val="01char"/>
    <w:basedOn w:val="Fontepargpadro"/>
    <w:rsid w:val="00A10052"/>
  </w:style>
  <w:style w:type="character" w:styleId="TextodoEspaoReservado">
    <w:name w:val="Placeholder Text"/>
    <w:basedOn w:val="Fontepargpadro"/>
    <w:uiPriority w:val="99"/>
    <w:semiHidden/>
    <w:rsid w:val="006B2C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7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4973\AppData\Roaming\Microsoft\Modelos\M&#225;scaras%20do%20Word\Projeto%20de%20Lei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Projeto de Lei</Template>
  <TotalTime>6</TotalTime>
  <Pages>4</Pages>
  <Words>1050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     , DE 199</vt:lpstr>
    </vt:vector>
  </TitlesOfParts>
  <Company>Camara dos Deputados</Company>
  <LinksUpToDate>false</LinksUpToDate>
  <CharactersWithSpaces>6713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     , DE 199</dc:title>
  <dc:subject>Projeto de Lei</dc:subject>
  <dc:creator>Maria Beatriz dos Santos</dc:creator>
  <cp:lastModifiedBy>Jefferson Jairo Aires Viana</cp:lastModifiedBy>
  <cp:revision>3</cp:revision>
  <cp:lastPrinted>2015-11-17T16:38:00Z</cp:lastPrinted>
  <dcterms:created xsi:type="dcterms:W3CDTF">2015-11-18T11:48:00Z</dcterms:created>
  <dcterms:modified xsi:type="dcterms:W3CDTF">2015-11-18T16:25:00Z</dcterms:modified>
</cp:coreProperties>
</file>