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775B" w:rsidRPr="0045775B" w:rsidRDefault="000D6A89" w:rsidP="0045775B">
      <w:pPr>
        <w:jc w:val="center"/>
        <w:rPr>
          <w:rFonts w:ascii="Times New Roman" w:eastAsia="Times New Roman" w:hAnsi="Times New Roman" w:cs="Times New Roman"/>
          <w:szCs w:val="20"/>
          <w:lang w:eastAsia="pt-BR"/>
        </w:rPr>
      </w:pPr>
      <w:bookmarkStart w:id="0" w:name="z469624_"/>
      <w:r>
        <w:rPr>
          <w:rFonts w:ascii="Times New Roman" w:eastAsia="Times New Roman" w:hAnsi="Times New Roman" w:cs="Times New Roman"/>
          <w:noProof/>
          <w:szCs w:val="20"/>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0D6A89" w:rsidRPr="000D6A89" w:rsidRDefault="000D6A89">
                            <w:pPr>
                              <w:rPr>
                                <w:rFonts w:ascii="Times New Roman" w:hAnsi="Times New Roman" w:cs="Times New Roman"/>
                                <w:sz w:val="34"/>
                              </w:rPr>
                            </w:pPr>
                            <w:r w:rsidRPr="000D6A89">
                              <w:rPr>
                                <w:rFonts w:ascii="3 of 9 Barcode" w:hAnsi="3 of 9 Barcode"/>
                                <w:sz w:val="34"/>
                              </w:rPr>
                              <w:t>*C0054315A*</w:t>
                            </w:r>
                            <w:bookmarkStart w:id="1" w:name="_GoBack"/>
                          </w:p>
                          <w:bookmarkEnd w:id="1"/>
                          <w:p w:rsidR="000D6A89" w:rsidRPr="000D6A89" w:rsidRDefault="000D6A89">
                            <w:pPr>
                              <w:rPr>
                                <w:rFonts w:ascii="Times New Roman" w:hAnsi="Times New Roman" w:cs="Times New Roman"/>
                              </w:rPr>
                            </w:pPr>
                            <w:r>
                              <w:rPr>
                                <w:rFonts w:ascii="Times New Roman" w:hAnsi="Times New Roman" w:cs="Times New Roman"/>
                              </w:rPr>
                              <w:t>C0054315A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0D6A89" w:rsidRPr="000D6A89" w:rsidRDefault="000D6A89">
                      <w:pPr>
                        <w:rPr>
                          <w:rFonts w:ascii="Times New Roman" w:hAnsi="Times New Roman" w:cs="Times New Roman"/>
                          <w:sz w:val="34"/>
                        </w:rPr>
                      </w:pPr>
                      <w:r w:rsidRPr="000D6A89">
                        <w:rPr>
                          <w:rFonts w:ascii="3 of 9 Barcode" w:hAnsi="3 of 9 Barcode"/>
                          <w:sz w:val="34"/>
                        </w:rPr>
                        <w:t>*C0054315A*</w:t>
                      </w:r>
                      <w:bookmarkStart w:id="2" w:name="_GoBack"/>
                    </w:p>
                    <w:bookmarkEnd w:id="2"/>
                    <w:p w:rsidR="000D6A89" w:rsidRPr="000D6A89" w:rsidRDefault="000D6A89">
                      <w:pPr>
                        <w:rPr>
                          <w:rFonts w:ascii="Times New Roman" w:hAnsi="Times New Roman" w:cs="Times New Roman"/>
                        </w:rPr>
                      </w:pPr>
                      <w:r>
                        <w:rPr>
                          <w:rFonts w:ascii="Times New Roman" w:hAnsi="Times New Roman" w:cs="Times New Roman"/>
                        </w:rPr>
                        <w:t>C0054315A</w:t>
                      </w:r>
                    </w:p>
                  </w:txbxContent>
                </v:textbox>
                <w10:wrap anchorx="page" anchory="page"/>
              </v:shape>
            </w:pict>
          </mc:Fallback>
        </mc:AlternateContent>
      </w:r>
      <w:r w:rsidR="0045775B">
        <w:rPr>
          <w:rFonts w:ascii="Times New Roman" w:eastAsia="Times New Roman" w:hAnsi="Times New Roman" w:cs="Times New Roman"/>
          <w:noProof/>
          <w:szCs w:val="20"/>
          <w:lang w:eastAsia="pt-BR"/>
        </w:rPr>
        <w:drawing>
          <wp:inline distT="0" distB="0" distL="0" distR="0" wp14:anchorId="3E90565B" wp14:editId="424DB1C2">
            <wp:extent cx="1905000" cy="2057400"/>
            <wp:effectExtent l="0" t="0" r="0" b="0"/>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2057400"/>
                    </a:xfrm>
                    <a:prstGeom prst="rect">
                      <a:avLst/>
                    </a:prstGeom>
                    <a:noFill/>
                    <a:ln>
                      <a:noFill/>
                    </a:ln>
                  </pic:spPr>
                </pic:pic>
              </a:graphicData>
            </a:graphic>
          </wp:inline>
        </w:drawing>
      </w:r>
    </w:p>
    <w:p w:rsidR="0045775B" w:rsidRPr="0045775B" w:rsidRDefault="0045775B" w:rsidP="0045775B">
      <w:pPr>
        <w:keepNext/>
        <w:tabs>
          <w:tab w:val="left" w:pos="6840"/>
          <w:tab w:val="right" w:pos="9394"/>
        </w:tabs>
        <w:jc w:val="center"/>
        <w:outlineLvl w:val="6"/>
        <w:rPr>
          <w:rFonts w:eastAsia="Times New Roman" w:cs="Times New Roman"/>
          <w:b/>
          <w:sz w:val="24"/>
          <w:szCs w:val="20"/>
          <w:lang w:eastAsia="pt-BR"/>
        </w:rPr>
      </w:pPr>
      <w:r w:rsidRPr="0045775B">
        <w:rPr>
          <w:rFonts w:eastAsia="Times New Roman" w:cs="Times New Roman"/>
          <w:b/>
          <w:sz w:val="24"/>
          <w:szCs w:val="20"/>
          <w:lang w:eastAsia="pt-BR"/>
        </w:rPr>
        <w:t>CÂMARA DOS DEPUTADOS</w:t>
      </w:r>
    </w:p>
    <w:p w:rsidR="0045775B" w:rsidRPr="0045775B" w:rsidRDefault="0045775B" w:rsidP="0045775B">
      <w:pPr>
        <w:jc w:val="center"/>
        <w:rPr>
          <w:rFonts w:eastAsia="Times New Roman" w:cs="Times New Roman"/>
          <w:b/>
          <w:sz w:val="44"/>
          <w:szCs w:val="20"/>
          <w:lang w:eastAsia="pt-BR"/>
        </w:rPr>
      </w:pPr>
    </w:p>
    <w:p w:rsidR="0045775B" w:rsidRPr="0045775B" w:rsidRDefault="00884911" w:rsidP="0045775B">
      <w:pPr>
        <w:jc w:val="center"/>
        <w:rPr>
          <w:rFonts w:eastAsia="Times New Roman" w:cs="Times New Roman"/>
          <w:b/>
          <w:sz w:val="44"/>
          <w:szCs w:val="20"/>
          <w:lang w:eastAsia="pt-BR"/>
        </w:rPr>
      </w:pPr>
      <w:r>
        <w:rPr>
          <w:rFonts w:eastAsia="Times New Roman" w:cs="Times New Roman"/>
          <w:b/>
          <w:sz w:val="44"/>
          <w:szCs w:val="20"/>
          <w:lang w:eastAsia="pt-BR"/>
        </w:rPr>
        <w:t>*</w:t>
      </w:r>
      <w:r w:rsidR="0045775B" w:rsidRPr="0045775B">
        <w:rPr>
          <w:rFonts w:eastAsia="Times New Roman" w:cs="Times New Roman"/>
          <w:b/>
          <w:sz w:val="44"/>
          <w:szCs w:val="20"/>
          <w:lang w:eastAsia="pt-BR"/>
        </w:rPr>
        <w:t>PROJETO DE LEI N.º 6.971-A, DE 2010</w:t>
      </w:r>
    </w:p>
    <w:p w:rsidR="0045775B" w:rsidRPr="0045775B" w:rsidRDefault="0045775B" w:rsidP="0045775B">
      <w:pPr>
        <w:jc w:val="center"/>
        <w:rPr>
          <w:rFonts w:eastAsia="Times New Roman" w:cs="Times New Roman"/>
          <w:b/>
          <w:sz w:val="28"/>
          <w:szCs w:val="20"/>
          <w:lang w:eastAsia="pt-BR"/>
        </w:rPr>
      </w:pPr>
      <w:r w:rsidRPr="0045775B">
        <w:rPr>
          <w:rFonts w:eastAsia="Times New Roman" w:cs="Times New Roman"/>
          <w:b/>
          <w:sz w:val="28"/>
          <w:szCs w:val="20"/>
          <w:lang w:eastAsia="pt-BR"/>
        </w:rPr>
        <w:t>(Do Sr. Milton Monti)</w:t>
      </w:r>
    </w:p>
    <w:p w:rsidR="0045775B" w:rsidRPr="0045775B" w:rsidRDefault="0045775B" w:rsidP="0045775B">
      <w:pPr>
        <w:jc w:val="center"/>
        <w:rPr>
          <w:rFonts w:eastAsia="Times New Roman" w:cs="Times New Roman"/>
          <w:b/>
          <w:sz w:val="28"/>
          <w:szCs w:val="20"/>
          <w:lang w:eastAsia="pt-BR"/>
        </w:rPr>
      </w:pPr>
    </w:p>
    <w:p w:rsidR="0045775B" w:rsidRDefault="0045775B" w:rsidP="0045775B">
      <w:pPr>
        <w:rPr>
          <w:rFonts w:eastAsia="Times New Roman" w:cs="Times New Roman"/>
          <w:sz w:val="28"/>
          <w:szCs w:val="20"/>
          <w:lang w:eastAsia="pt-BR"/>
        </w:rPr>
      </w:pPr>
      <w:r w:rsidRPr="0045775B">
        <w:rPr>
          <w:rFonts w:eastAsia="Times New Roman" w:cs="Times New Roman"/>
          <w:sz w:val="28"/>
          <w:szCs w:val="20"/>
          <w:lang w:eastAsia="pt-BR"/>
        </w:rPr>
        <w:t xml:space="preserve">Acrescenta o inciso XI ao art. 6º, da Lei nº 10.826, de 22 de dezembro de 2003, que dispõe sobre o registro, posse e comercialização de armas de fogo e munição, sobre o Sistema Nacional de Armas - Sinarm, define crimes e dá outras providências; tendo parecer da Comissão de Segurança Pública e Combate ao Crime Organizado pela aprovação, com substitutivo (relator: DEP. EDIO LOPES). </w:t>
      </w:r>
    </w:p>
    <w:p w:rsidR="00884911" w:rsidRPr="0045775B" w:rsidRDefault="00884911" w:rsidP="0045775B">
      <w:pPr>
        <w:rPr>
          <w:rFonts w:ascii="Times New Roman" w:eastAsia="Times New Roman" w:hAnsi="Times New Roman" w:cs="Times New Roman"/>
          <w:szCs w:val="20"/>
          <w:lang w:eastAsia="pt-BR"/>
        </w:rPr>
      </w:pPr>
    </w:p>
    <w:p w:rsidR="00884911" w:rsidRDefault="00884911" w:rsidP="0045775B">
      <w:pPr>
        <w:pBdr>
          <w:top w:val="single" w:sz="4" w:space="1" w:color="auto"/>
          <w:left w:val="single" w:sz="4" w:space="4" w:color="auto"/>
          <w:bottom w:val="single" w:sz="4" w:space="1" w:color="auto"/>
          <w:right w:val="single" w:sz="4" w:space="4" w:color="auto"/>
        </w:pBdr>
        <w:rPr>
          <w:rFonts w:eastAsia="Times New Roman" w:cs="Times New Roman"/>
          <w:b/>
          <w:sz w:val="28"/>
          <w:szCs w:val="20"/>
          <w:lang w:eastAsia="pt-BR"/>
        </w:rPr>
      </w:pPr>
    </w:p>
    <w:p w:rsidR="0045775B" w:rsidRPr="0045775B" w:rsidRDefault="0045775B" w:rsidP="0045775B">
      <w:pPr>
        <w:pBdr>
          <w:top w:val="single" w:sz="4" w:space="1" w:color="auto"/>
          <w:left w:val="single" w:sz="4" w:space="4" w:color="auto"/>
          <w:bottom w:val="single" w:sz="4" w:space="1" w:color="auto"/>
          <w:right w:val="single" w:sz="4" w:space="4" w:color="auto"/>
        </w:pBdr>
        <w:rPr>
          <w:rFonts w:eastAsia="Times New Roman" w:cs="Times New Roman"/>
          <w:sz w:val="28"/>
          <w:szCs w:val="20"/>
          <w:lang w:eastAsia="pt-BR"/>
        </w:rPr>
      </w:pPr>
      <w:r w:rsidRPr="0045775B">
        <w:rPr>
          <w:rFonts w:eastAsia="Times New Roman" w:cs="Times New Roman"/>
          <w:b/>
          <w:sz w:val="28"/>
          <w:szCs w:val="20"/>
          <w:lang w:eastAsia="pt-BR"/>
        </w:rPr>
        <w:t>DESPACHO:</w:t>
      </w:r>
    </w:p>
    <w:p w:rsidR="0045775B" w:rsidRPr="0045775B" w:rsidRDefault="0045775B" w:rsidP="0045775B">
      <w:pPr>
        <w:pBdr>
          <w:top w:val="single" w:sz="4" w:space="1" w:color="auto"/>
          <w:left w:val="single" w:sz="4" w:space="4" w:color="auto"/>
          <w:bottom w:val="single" w:sz="4" w:space="1" w:color="auto"/>
          <w:right w:val="single" w:sz="4" w:space="4" w:color="auto"/>
        </w:pBdr>
        <w:rPr>
          <w:rFonts w:eastAsia="Times New Roman" w:cs="Times New Roman"/>
          <w:sz w:val="28"/>
          <w:szCs w:val="20"/>
          <w:lang w:eastAsia="pt-BR"/>
        </w:rPr>
      </w:pPr>
      <w:r w:rsidRPr="0045775B">
        <w:rPr>
          <w:rFonts w:eastAsia="Times New Roman" w:cs="Times New Roman"/>
          <w:sz w:val="28"/>
          <w:szCs w:val="20"/>
          <w:lang w:eastAsia="pt-BR"/>
        </w:rPr>
        <w:t>ÀS COMISSÕES DE:</w:t>
      </w:r>
    </w:p>
    <w:p w:rsidR="00884911" w:rsidRDefault="0045775B" w:rsidP="0045775B">
      <w:pPr>
        <w:pBdr>
          <w:top w:val="single" w:sz="4" w:space="1" w:color="auto"/>
          <w:left w:val="single" w:sz="4" w:space="4" w:color="auto"/>
          <w:bottom w:val="single" w:sz="4" w:space="1" w:color="auto"/>
          <w:right w:val="single" w:sz="4" w:space="4" w:color="auto"/>
        </w:pBdr>
        <w:rPr>
          <w:rFonts w:eastAsia="Times New Roman" w:cs="Times New Roman"/>
          <w:sz w:val="28"/>
          <w:szCs w:val="20"/>
          <w:lang w:eastAsia="pt-BR"/>
        </w:rPr>
      </w:pPr>
      <w:r w:rsidRPr="0045775B">
        <w:rPr>
          <w:rFonts w:eastAsia="Times New Roman" w:cs="Times New Roman"/>
          <w:sz w:val="28"/>
          <w:szCs w:val="20"/>
          <w:lang w:eastAsia="pt-BR"/>
        </w:rPr>
        <w:t xml:space="preserve">SEGURANÇA PÚBLICA E COMBATE AO CRIME ORGANIZADO E </w:t>
      </w:r>
    </w:p>
    <w:p w:rsidR="0045775B" w:rsidRPr="0045775B" w:rsidRDefault="0045775B" w:rsidP="0045775B">
      <w:pPr>
        <w:pBdr>
          <w:top w:val="single" w:sz="4" w:space="1" w:color="auto"/>
          <w:left w:val="single" w:sz="4" w:space="4" w:color="auto"/>
          <w:bottom w:val="single" w:sz="4" w:space="1" w:color="auto"/>
          <w:right w:val="single" w:sz="4" w:space="4" w:color="auto"/>
        </w:pBdr>
        <w:rPr>
          <w:rFonts w:eastAsia="Times New Roman" w:cs="Times New Roman"/>
          <w:sz w:val="28"/>
          <w:szCs w:val="20"/>
          <w:lang w:eastAsia="pt-BR"/>
        </w:rPr>
      </w:pPr>
      <w:r w:rsidRPr="0045775B">
        <w:rPr>
          <w:rFonts w:eastAsia="Times New Roman" w:cs="Times New Roman"/>
          <w:sz w:val="28"/>
          <w:szCs w:val="20"/>
          <w:lang w:eastAsia="pt-BR"/>
        </w:rPr>
        <w:t xml:space="preserve">CONSTITUIÇÃO E JUSTIÇA E DE CIDADANIA (ART. 54 RICD) </w:t>
      </w:r>
    </w:p>
    <w:p w:rsidR="0045775B" w:rsidRPr="0045775B" w:rsidRDefault="0045775B" w:rsidP="0045775B">
      <w:pPr>
        <w:pBdr>
          <w:top w:val="single" w:sz="4" w:space="1" w:color="auto"/>
          <w:left w:val="single" w:sz="4" w:space="4" w:color="auto"/>
          <w:bottom w:val="single" w:sz="4" w:space="1" w:color="auto"/>
          <w:right w:val="single" w:sz="4" w:space="4" w:color="auto"/>
        </w:pBdr>
        <w:rPr>
          <w:rFonts w:eastAsia="Times New Roman" w:cs="Times New Roman"/>
          <w:sz w:val="28"/>
          <w:szCs w:val="20"/>
          <w:lang w:eastAsia="pt-BR"/>
        </w:rPr>
      </w:pPr>
    </w:p>
    <w:p w:rsidR="0045775B" w:rsidRPr="0045775B" w:rsidRDefault="0045775B" w:rsidP="0045775B">
      <w:pPr>
        <w:pBdr>
          <w:top w:val="single" w:sz="4" w:space="1" w:color="auto"/>
          <w:left w:val="single" w:sz="4" w:space="4" w:color="auto"/>
          <w:bottom w:val="single" w:sz="4" w:space="1" w:color="auto"/>
          <w:right w:val="single" w:sz="4" w:space="4" w:color="auto"/>
        </w:pBdr>
        <w:rPr>
          <w:rFonts w:eastAsia="Times New Roman" w:cs="Times New Roman"/>
          <w:sz w:val="28"/>
          <w:szCs w:val="20"/>
          <w:lang w:eastAsia="pt-BR"/>
        </w:rPr>
      </w:pPr>
      <w:r w:rsidRPr="0045775B">
        <w:rPr>
          <w:rFonts w:eastAsia="Times New Roman" w:cs="Times New Roman"/>
          <w:b/>
          <w:sz w:val="28"/>
          <w:szCs w:val="20"/>
          <w:lang w:eastAsia="pt-BR"/>
        </w:rPr>
        <w:t>APRECIAÇÃO:</w:t>
      </w:r>
    </w:p>
    <w:p w:rsidR="0045775B" w:rsidRDefault="0045775B" w:rsidP="0045775B">
      <w:pPr>
        <w:pBdr>
          <w:top w:val="single" w:sz="4" w:space="1" w:color="auto"/>
          <w:left w:val="single" w:sz="4" w:space="4" w:color="auto"/>
          <w:bottom w:val="single" w:sz="4" w:space="1" w:color="auto"/>
          <w:right w:val="single" w:sz="4" w:space="4" w:color="auto"/>
        </w:pBdr>
        <w:rPr>
          <w:rFonts w:eastAsia="Times New Roman" w:cs="Times New Roman"/>
          <w:sz w:val="28"/>
          <w:szCs w:val="20"/>
          <w:lang w:eastAsia="pt-BR"/>
        </w:rPr>
      </w:pPr>
      <w:r w:rsidRPr="0045775B">
        <w:rPr>
          <w:rFonts w:eastAsia="Times New Roman" w:cs="Times New Roman"/>
          <w:sz w:val="28"/>
          <w:szCs w:val="20"/>
          <w:lang w:eastAsia="pt-BR"/>
        </w:rPr>
        <w:t>Proposição Sujeita à Apreciação Conclusiva pelas Comissões - Art. 24 II</w:t>
      </w:r>
    </w:p>
    <w:p w:rsidR="00884911" w:rsidRPr="0045775B" w:rsidRDefault="00884911" w:rsidP="0045775B">
      <w:pPr>
        <w:pBdr>
          <w:top w:val="single" w:sz="4" w:space="1" w:color="auto"/>
          <w:left w:val="single" w:sz="4" w:space="4" w:color="auto"/>
          <w:bottom w:val="single" w:sz="4" w:space="1" w:color="auto"/>
          <w:right w:val="single" w:sz="4" w:space="4" w:color="auto"/>
        </w:pBdr>
        <w:rPr>
          <w:rFonts w:eastAsia="Times New Roman" w:cs="Times New Roman"/>
          <w:sz w:val="28"/>
          <w:szCs w:val="20"/>
          <w:lang w:eastAsia="pt-BR"/>
        </w:rPr>
      </w:pPr>
    </w:p>
    <w:p w:rsidR="0045775B" w:rsidRPr="0045775B" w:rsidRDefault="0045775B" w:rsidP="0045775B">
      <w:pPr>
        <w:rPr>
          <w:rFonts w:eastAsia="Times New Roman" w:cs="Times New Roman"/>
          <w:sz w:val="28"/>
          <w:szCs w:val="20"/>
          <w:lang w:eastAsia="pt-BR"/>
        </w:rPr>
      </w:pPr>
    </w:p>
    <w:p w:rsidR="0045775B" w:rsidRPr="0045775B" w:rsidRDefault="0045775B" w:rsidP="0045775B">
      <w:pPr>
        <w:keepNext/>
        <w:jc w:val="center"/>
        <w:outlineLvl w:val="2"/>
        <w:rPr>
          <w:rFonts w:eastAsia="Times New Roman"/>
          <w:b/>
          <w:sz w:val="24"/>
          <w:szCs w:val="24"/>
          <w:lang w:eastAsia="pt-BR"/>
        </w:rPr>
      </w:pPr>
      <w:r w:rsidRPr="0045775B">
        <w:rPr>
          <w:rFonts w:eastAsia="Times New Roman"/>
          <w:b/>
          <w:sz w:val="24"/>
          <w:szCs w:val="24"/>
          <w:lang w:eastAsia="pt-BR"/>
        </w:rPr>
        <w:t>SUMÁRIO</w:t>
      </w:r>
    </w:p>
    <w:p w:rsidR="0045775B" w:rsidRPr="0045775B" w:rsidRDefault="0045775B" w:rsidP="0045775B">
      <w:pPr>
        <w:jc w:val="left"/>
        <w:rPr>
          <w:rFonts w:eastAsia="Times New Roman"/>
          <w:sz w:val="24"/>
          <w:szCs w:val="24"/>
          <w:lang w:eastAsia="pt-BR"/>
        </w:rPr>
      </w:pPr>
      <w:r w:rsidRPr="0045775B">
        <w:rPr>
          <w:rFonts w:eastAsia="Times New Roman"/>
          <w:sz w:val="24"/>
          <w:szCs w:val="24"/>
          <w:lang w:eastAsia="pt-BR"/>
        </w:rPr>
        <w:t>I - Projeto inicial</w:t>
      </w:r>
    </w:p>
    <w:p w:rsidR="0045775B" w:rsidRPr="0045775B" w:rsidRDefault="0045775B" w:rsidP="0045775B">
      <w:pPr>
        <w:jc w:val="left"/>
        <w:rPr>
          <w:rFonts w:eastAsia="Times New Roman"/>
          <w:sz w:val="24"/>
          <w:szCs w:val="24"/>
          <w:lang w:eastAsia="pt-BR"/>
        </w:rPr>
      </w:pPr>
    </w:p>
    <w:p w:rsidR="0045775B" w:rsidRPr="0045775B" w:rsidRDefault="0045775B" w:rsidP="0045775B">
      <w:pPr>
        <w:jc w:val="left"/>
        <w:rPr>
          <w:rFonts w:eastAsia="Times New Roman"/>
          <w:sz w:val="24"/>
          <w:szCs w:val="24"/>
          <w:lang w:eastAsia="pt-BR"/>
        </w:rPr>
      </w:pPr>
      <w:r w:rsidRPr="0045775B">
        <w:rPr>
          <w:rFonts w:eastAsia="Times New Roman"/>
          <w:sz w:val="24"/>
          <w:szCs w:val="24"/>
          <w:lang w:eastAsia="pt-BR"/>
        </w:rPr>
        <w:t>II - Na Comissão de Segurança Pública e Combate ao Crime Organizado:</w:t>
      </w:r>
    </w:p>
    <w:p w:rsidR="0045775B" w:rsidRPr="0045775B" w:rsidRDefault="0045775B" w:rsidP="0045775B">
      <w:pPr>
        <w:jc w:val="left"/>
        <w:rPr>
          <w:rFonts w:eastAsia="Times New Roman"/>
          <w:sz w:val="24"/>
          <w:szCs w:val="24"/>
          <w:lang w:eastAsia="pt-BR"/>
        </w:rPr>
      </w:pPr>
      <w:r w:rsidRPr="0045775B">
        <w:rPr>
          <w:rFonts w:eastAsia="Times New Roman"/>
          <w:sz w:val="24"/>
          <w:szCs w:val="24"/>
          <w:lang w:eastAsia="pt-BR"/>
        </w:rPr>
        <w:t xml:space="preserve">      - parecer do relator</w:t>
      </w:r>
    </w:p>
    <w:p w:rsidR="0045775B" w:rsidRPr="0045775B" w:rsidRDefault="0045775B" w:rsidP="0045775B">
      <w:pPr>
        <w:jc w:val="left"/>
        <w:rPr>
          <w:rFonts w:eastAsia="Times New Roman"/>
          <w:sz w:val="24"/>
          <w:szCs w:val="24"/>
          <w:lang w:eastAsia="pt-BR"/>
        </w:rPr>
      </w:pPr>
      <w:r w:rsidRPr="0045775B">
        <w:rPr>
          <w:rFonts w:eastAsia="Times New Roman"/>
          <w:sz w:val="24"/>
          <w:szCs w:val="24"/>
          <w:lang w:eastAsia="pt-BR"/>
        </w:rPr>
        <w:t xml:space="preserve">      - complementação de voto</w:t>
      </w:r>
    </w:p>
    <w:p w:rsidR="0045775B" w:rsidRPr="0045775B" w:rsidRDefault="0045775B" w:rsidP="0045775B">
      <w:pPr>
        <w:jc w:val="left"/>
        <w:rPr>
          <w:rFonts w:eastAsia="Times New Roman"/>
          <w:sz w:val="24"/>
          <w:szCs w:val="24"/>
          <w:lang w:eastAsia="pt-BR"/>
        </w:rPr>
      </w:pPr>
      <w:r w:rsidRPr="0045775B">
        <w:rPr>
          <w:rFonts w:eastAsia="Times New Roman"/>
          <w:sz w:val="24"/>
          <w:szCs w:val="24"/>
          <w:lang w:eastAsia="pt-BR"/>
        </w:rPr>
        <w:t xml:space="preserve">      - substitutivo oferecido pelo relator</w:t>
      </w:r>
    </w:p>
    <w:p w:rsidR="0045775B" w:rsidRPr="0045775B" w:rsidRDefault="0045775B" w:rsidP="0045775B">
      <w:pPr>
        <w:jc w:val="left"/>
        <w:rPr>
          <w:rFonts w:eastAsia="Times New Roman"/>
          <w:sz w:val="24"/>
          <w:szCs w:val="24"/>
          <w:lang w:eastAsia="pt-BR"/>
        </w:rPr>
      </w:pPr>
      <w:r w:rsidRPr="0045775B">
        <w:rPr>
          <w:rFonts w:eastAsia="Times New Roman"/>
          <w:sz w:val="24"/>
          <w:szCs w:val="24"/>
          <w:lang w:eastAsia="pt-BR"/>
        </w:rPr>
        <w:t xml:space="preserve">      - parecer da Comissão</w:t>
      </w:r>
    </w:p>
    <w:p w:rsidR="0045775B" w:rsidRPr="0045775B" w:rsidRDefault="0045775B" w:rsidP="0045775B">
      <w:pPr>
        <w:jc w:val="left"/>
        <w:rPr>
          <w:rFonts w:ascii="Times New Roman" w:eastAsia="Times New Roman" w:hAnsi="Times New Roman" w:cs="Times New Roman"/>
          <w:szCs w:val="20"/>
          <w:lang w:eastAsia="pt-BR"/>
        </w:rPr>
      </w:pPr>
      <w:r w:rsidRPr="0045775B">
        <w:rPr>
          <w:rFonts w:eastAsia="Times New Roman"/>
          <w:sz w:val="24"/>
          <w:szCs w:val="24"/>
          <w:lang w:eastAsia="pt-BR"/>
        </w:rPr>
        <w:t xml:space="preserve">      - votos em separado</w:t>
      </w:r>
    </w:p>
    <w:p w:rsidR="00884911" w:rsidRDefault="00884911" w:rsidP="00884911">
      <w:pPr>
        <w:widowControl w:val="0"/>
        <w:rPr>
          <w:rFonts w:ascii="Times New Roman" w:eastAsia="Times New Roman" w:hAnsi="Times New Roman" w:cs="Times New Roman"/>
          <w:b/>
          <w:snapToGrid w:val="0"/>
          <w:color w:val="000000"/>
          <w:sz w:val="24"/>
          <w:szCs w:val="20"/>
          <w:lang w:eastAsia="pt-BR"/>
        </w:rPr>
      </w:pPr>
    </w:p>
    <w:p w:rsidR="0045775B" w:rsidRPr="00884911" w:rsidRDefault="00884911" w:rsidP="00884911">
      <w:pPr>
        <w:widowControl w:val="0"/>
        <w:ind w:left="426" w:hanging="426"/>
        <w:rPr>
          <w:rFonts w:ascii="Times New Roman" w:eastAsia="Times New Roman" w:hAnsi="Times New Roman" w:cs="Times New Roman"/>
          <w:b/>
          <w:snapToGrid w:val="0"/>
          <w:color w:val="000000"/>
          <w:sz w:val="24"/>
          <w:szCs w:val="20"/>
          <w:lang w:eastAsia="pt-BR"/>
        </w:rPr>
      </w:pPr>
      <w:r w:rsidRPr="00884911">
        <w:rPr>
          <w:rFonts w:ascii="Times New Roman" w:eastAsia="Times New Roman" w:hAnsi="Times New Roman" w:cs="Times New Roman"/>
          <w:b/>
          <w:snapToGrid w:val="0"/>
          <w:color w:val="000000"/>
          <w:sz w:val="24"/>
          <w:szCs w:val="20"/>
          <w:lang w:eastAsia="pt-BR"/>
        </w:rPr>
        <w:t xml:space="preserve"> (*) Republicado em virtude de incorreção na complementação de voto do relator da Comissão de Segurança Pública e Combate ao Crime Organizado</w:t>
      </w:r>
    </w:p>
    <w:p w:rsidR="0045775B" w:rsidRPr="0045775B" w:rsidRDefault="0045775B" w:rsidP="0045775B">
      <w:pPr>
        <w:widowControl w:val="0"/>
        <w:spacing w:after="240" w:line="240" w:lineRule="exact"/>
        <w:ind w:firstLine="2302"/>
        <w:rPr>
          <w:rFonts w:eastAsia="Times New Roman"/>
          <w:snapToGrid w:val="0"/>
          <w:color w:val="000000"/>
          <w:sz w:val="24"/>
          <w:szCs w:val="20"/>
          <w:lang w:eastAsia="pt-BR"/>
        </w:rPr>
      </w:pPr>
      <w:r w:rsidRPr="0045775B">
        <w:rPr>
          <w:rFonts w:eastAsia="Times New Roman"/>
          <w:snapToGrid w:val="0"/>
          <w:color w:val="000000"/>
          <w:sz w:val="24"/>
          <w:szCs w:val="20"/>
          <w:lang w:eastAsia="pt-BR"/>
        </w:rPr>
        <w:lastRenderedPageBreak/>
        <w:t>O</w:t>
      </w:r>
      <w:r w:rsidRPr="0045775B">
        <w:rPr>
          <w:rFonts w:eastAsia="Times New Roman"/>
          <w:b/>
          <w:snapToGrid w:val="0"/>
          <w:color w:val="000000"/>
          <w:sz w:val="24"/>
          <w:szCs w:val="20"/>
          <w:lang w:eastAsia="pt-BR"/>
        </w:rPr>
        <w:t xml:space="preserve"> </w:t>
      </w:r>
      <w:r w:rsidRPr="0045775B">
        <w:rPr>
          <w:rFonts w:eastAsia="Times New Roman"/>
          <w:snapToGrid w:val="0"/>
          <w:color w:val="000000"/>
          <w:sz w:val="24"/>
          <w:szCs w:val="20"/>
          <w:lang w:eastAsia="pt-BR"/>
        </w:rPr>
        <w:t>Congresso Nacional</w:t>
      </w:r>
      <w:r w:rsidRPr="0045775B">
        <w:rPr>
          <w:rFonts w:eastAsia="Times New Roman"/>
          <w:b/>
          <w:snapToGrid w:val="0"/>
          <w:color w:val="000000"/>
          <w:sz w:val="24"/>
          <w:szCs w:val="20"/>
          <w:lang w:eastAsia="pt-BR"/>
        </w:rPr>
        <w:t xml:space="preserve"> </w:t>
      </w:r>
      <w:r w:rsidRPr="0045775B">
        <w:rPr>
          <w:rFonts w:eastAsia="Times New Roman"/>
          <w:snapToGrid w:val="0"/>
          <w:color w:val="000000"/>
          <w:sz w:val="24"/>
          <w:szCs w:val="20"/>
          <w:lang w:eastAsia="pt-BR"/>
        </w:rPr>
        <w:t>decreta:</w:t>
      </w:r>
    </w:p>
    <w:p w:rsidR="0045775B" w:rsidRPr="0045775B" w:rsidRDefault="0045775B" w:rsidP="0045775B">
      <w:pPr>
        <w:jc w:val="left"/>
        <w:rPr>
          <w:rFonts w:eastAsia="Times New Roman"/>
          <w:szCs w:val="20"/>
          <w:lang w:eastAsia="pt-BR"/>
        </w:rPr>
      </w:pPr>
    </w:p>
    <w:p w:rsidR="0045775B" w:rsidRPr="0045775B" w:rsidRDefault="0045775B" w:rsidP="0045775B">
      <w:pPr>
        <w:spacing w:after="200" w:line="360" w:lineRule="auto"/>
        <w:ind w:firstLine="2302"/>
        <w:rPr>
          <w:rFonts w:eastAsia="Times New Roman"/>
          <w:snapToGrid w:val="0"/>
          <w:color w:val="000000"/>
          <w:sz w:val="24"/>
          <w:szCs w:val="20"/>
          <w:lang w:eastAsia="pt-BR"/>
        </w:rPr>
      </w:pPr>
      <w:r w:rsidRPr="0045775B">
        <w:rPr>
          <w:rFonts w:eastAsia="Times New Roman"/>
          <w:snapToGrid w:val="0"/>
          <w:color w:val="000000"/>
          <w:sz w:val="24"/>
          <w:szCs w:val="20"/>
          <w:lang w:eastAsia="pt-BR"/>
        </w:rPr>
        <w:t>Art. 1º O art. 6º da Lei nº 10.826, de 22 de dezembro de 2003, passa a vigorar acrescido do seguinte inciso XI:</w:t>
      </w:r>
    </w:p>
    <w:p w:rsidR="0045775B" w:rsidRPr="0045775B" w:rsidRDefault="0045775B" w:rsidP="0045775B">
      <w:pPr>
        <w:spacing w:line="360" w:lineRule="auto"/>
        <w:ind w:left="2268"/>
        <w:rPr>
          <w:rFonts w:eastAsia="Times New Roman"/>
          <w:snapToGrid w:val="0"/>
          <w:sz w:val="24"/>
          <w:szCs w:val="20"/>
          <w:lang w:eastAsia="pt-BR"/>
        </w:rPr>
      </w:pPr>
      <w:r w:rsidRPr="0045775B">
        <w:rPr>
          <w:rFonts w:eastAsia="Times New Roman"/>
          <w:snapToGrid w:val="0"/>
          <w:sz w:val="24"/>
          <w:szCs w:val="20"/>
          <w:lang w:eastAsia="pt-BR"/>
        </w:rPr>
        <w:t>“Art. 6º..................................................................................</w:t>
      </w:r>
    </w:p>
    <w:p w:rsidR="0045775B" w:rsidRPr="0045775B" w:rsidRDefault="0045775B" w:rsidP="0045775B">
      <w:pPr>
        <w:spacing w:line="360" w:lineRule="auto"/>
        <w:ind w:left="2268"/>
        <w:rPr>
          <w:rFonts w:eastAsia="Times New Roman"/>
          <w:snapToGrid w:val="0"/>
          <w:sz w:val="24"/>
          <w:szCs w:val="20"/>
          <w:lang w:eastAsia="pt-BR"/>
        </w:rPr>
      </w:pPr>
      <w:r w:rsidRPr="0045775B">
        <w:rPr>
          <w:rFonts w:eastAsia="Times New Roman"/>
          <w:snapToGrid w:val="0"/>
          <w:sz w:val="24"/>
          <w:szCs w:val="20"/>
          <w:lang w:eastAsia="pt-BR"/>
        </w:rPr>
        <w:t>XI – os colecionadores e atiradores.” (NR)</w:t>
      </w:r>
    </w:p>
    <w:p w:rsidR="0045775B" w:rsidRPr="0045775B" w:rsidRDefault="0045775B" w:rsidP="0045775B">
      <w:pPr>
        <w:spacing w:after="200" w:line="360" w:lineRule="auto"/>
        <w:ind w:firstLine="2302"/>
        <w:rPr>
          <w:rFonts w:eastAsia="Times New Roman"/>
          <w:snapToGrid w:val="0"/>
          <w:color w:val="000000"/>
          <w:sz w:val="24"/>
          <w:szCs w:val="20"/>
          <w:lang w:eastAsia="pt-BR"/>
        </w:rPr>
      </w:pPr>
      <w:r w:rsidRPr="0045775B">
        <w:rPr>
          <w:rFonts w:eastAsia="Times New Roman"/>
          <w:snapToGrid w:val="0"/>
          <w:color w:val="000000"/>
          <w:sz w:val="24"/>
          <w:szCs w:val="20"/>
          <w:lang w:eastAsia="pt-BR"/>
        </w:rPr>
        <w:t>Art. 2º Esta lei entra em vigor na data de sua publicação.</w:t>
      </w:r>
    </w:p>
    <w:p w:rsidR="0045775B" w:rsidRPr="0045775B" w:rsidRDefault="0045775B" w:rsidP="0045775B">
      <w:pPr>
        <w:keepNext/>
        <w:jc w:val="center"/>
        <w:outlineLvl w:val="2"/>
        <w:rPr>
          <w:rFonts w:eastAsia="Times New Roman"/>
          <w:b/>
          <w:sz w:val="24"/>
          <w:szCs w:val="20"/>
          <w:lang w:eastAsia="pt-BR"/>
        </w:rPr>
      </w:pPr>
      <w:r w:rsidRPr="0045775B">
        <w:rPr>
          <w:rFonts w:eastAsia="Times New Roman"/>
          <w:b/>
          <w:sz w:val="24"/>
          <w:szCs w:val="20"/>
          <w:lang w:eastAsia="pt-BR"/>
        </w:rPr>
        <w:t>JUSTIFICAÇÃO</w:t>
      </w:r>
    </w:p>
    <w:p w:rsidR="0045775B" w:rsidRPr="0045775B" w:rsidRDefault="0045775B" w:rsidP="0045775B">
      <w:pPr>
        <w:jc w:val="left"/>
        <w:rPr>
          <w:rFonts w:eastAsia="Times New Roman"/>
          <w:szCs w:val="20"/>
          <w:lang w:eastAsia="pt-BR"/>
        </w:rPr>
      </w:pPr>
    </w:p>
    <w:p w:rsidR="0045775B" w:rsidRPr="0045775B" w:rsidRDefault="0045775B" w:rsidP="0045775B">
      <w:pPr>
        <w:spacing w:line="360" w:lineRule="auto"/>
        <w:ind w:firstLine="2268"/>
        <w:rPr>
          <w:rFonts w:eastAsia="Times New Roman"/>
          <w:snapToGrid w:val="0"/>
          <w:sz w:val="24"/>
          <w:szCs w:val="20"/>
          <w:lang w:eastAsia="pt-BR"/>
        </w:rPr>
      </w:pPr>
      <w:r w:rsidRPr="0045775B">
        <w:rPr>
          <w:rFonts w:eastAsia="Times New Roman"/>
          <w:snapToGrid w:val="0"/>
          <w:sz w:val="24"/>
          <w:szCs w:val="20"/>
          <w:lang w:eastAsia="pt-BR"/>
        </w:rPr>
        <w:t>O Estatuto do Desarmamento, ao prever algumas hipóteses para o porte de arma, no seu art. 6º, deixou lacunas ao não considerar algumas pessoas que desenvolvem atividades nas quais há convívio direto com armas de fogo e que, em função disso, precisam, indubitavelmente, dispor do porte de arma de fogo.</w:t>
      </w:r>
    </w:p>
    <w:p w:rsidR="0045775B" w:rsidRPr="0045775B" w:rsidRDefault="0045775B" w:rsidP="0045775B">
      <w:pPr>
        <w:spacing w:line="360" w:lineRule="auto"/>
        <w:ind w:firstLine="2268"/>
        <w:rPr>
          <w:rFonts w:eastAsia="Times New Roman"/>
          <w:snapToGrid w:val="0"/>
          <w:sz w:val="24"/>
          <w:szCs w:val="20"/>
          <w:lang w:eastAsia="pt-BR"/>
        </w:rPr>
      </w:pPr>
      <w:r w:rsidRPr="0045775B">
        <w:rPr>
          <w:rFonts w:eastAsia="Times New Roman"/>
          <w:snapToGrid w:val="0"/>
          <w:sz w:val="24"/>
          <w:szCs w:val="20"/>
          <w:lang w:eastAsia="pt-BR"/>
        </w:rPr>
        <w:t>Os colecionadores e os atiradores alinham-se entre aqueles que foram deixados no limbo legal pelo Estatuto do Desarmamento,  sendo razoável que este sofra alterações, como a proposta feita aqui, para adequá-lo às necessidades que vão paulatinamente surgindo.</w:t>
      </w:r>
    </w:p>
    <w:p w:rsidR="0045775B" w:rsidRPr="0045775B" w:rsidRDefault="0045775B" w:rsidP="0045775B">
      <w:pPr>
        <w:spacing w:line="360" w:lineRule="auto"/>
        <w:ind w:firstLine="2268"/>
        <w:rPr>
          <w:rFonts w:eastAsia="Times New Roman"/>
          <w:snapToGrid w:val="0"/>
          <w:sz w:val="24"/>
          <w:szCs w:val="20"/>
          <w:lang w:eastAsia="pt-BR"/>
        </w:rPr>
      </w:pPr>
      <w:r w:rsidRPr="0045775B">
        <w:rPr>
          <w:rFonts w:eastAsia="Times New Roman"/>
          <w:snapToGrid w:val="0"/>
          <w:sz w:val="24"/>
          <w:szCs w:val="20"/>
          <w:lang w:eastAsia="pt-BR"/>
        </w:rPr>
        <w:t xml:space="preserve"> Certo de contar com o melhor entendimento dos nobres pares, oferecemos esta contribuição para o aperfeiçoamento do nosso ordenamento jurídico.</w:t>
      </w:r>
    </w:p>
    <w:p w:rsidR="0045775B" w:rsidRPr="0045775B" w:rsidRDefault="0045775B" w:rsidP="0045775B">
      <w:pPr>
        <w:keepNext/>
        <w:widowControl w:val="0"/>
        <w:spacing w:before="240" w:after="240" w:line="240" w:lineRule="exact"/>
        <w:ind w:firstLine="2302"/>
        <w:rPr>
          <w:rFonts w:eastAsia="Times New Roman"/>
          <w:snapToGrid w:val="0"/>
          <w:color w:val="000000"/>
          <w:sz w:val="24"/>
          <w:szCs w:val="20"/>
          <w:lang w:eastAsia="pt-BR"/>
        </w:rPr>
      </w:pPr>
      <w:r w:rsidRPr="0045775B">
        <w:rPr>
          <w:rFonts w:eastAsia="Times New Roman"/>
          <w:snapToGrid w:val="0"/>
          <w:color w:val="000000"/>
          <w:sz w:val="24"/>
          <w:szCs w:val="20"/>
          <w:lang w:eastAsia="pt-BR"/>
        </w:rPr>
        <w:t>Sala das Sessões, em 16 de março de 2010.</w:t>
      </w:r>
    </w:p>
    <w:p w:rsidR="00884911" w:rsidRDefault="00884911" w:rsidP="0045775B">
      <w:pPr>
        <w:widowControl w:val="0"/>
        <w:spacing w:line="360" w:lineRule="exact"/>
        <w:ind w:left="2268"/>
        <w:jc w:val="center"/>
        <w:rPr>
          <w:rFonts w:eastAsia="Times New Roman"/>
          <w:snapToGrid w:val="0"/>
          <w:color w:val="000000"/>
          <w:sz w:val="24"/>
          <w:szCs w:val="20"/>
          <w:lang w:eastAsia="pt-BR"/>
        </w:rPr>
      </w:pPr>
    </w:p>
    <w:p w:rsidR="0045775B" w:rsidRPr="0045775B" w:rsidRDefault="0045775B" w:rsidP="0045775B">
      <w:pPr>
        <w:widowControl w:val="0"/>
        <w:spacing w:line="360" w:lineRule="exact"/>
        <w:ind w:left="2268"/>
        <w:jc w:val="center"/>
        <w:rPr>
          <w:rFonts w:eastAsia="Times New Roman"/>
          <w:szCs w:val="20"/>
          <w:lang w:eastAsia="pt-BR"/>
        </w:rPr>
      </w:pPr>
      <w:r w:rsidRPr="0045775B">
        <w:rPr>
          <w:rFonts w:eastAsia="Times New Roman"/>
          <w:snapToGrid w:val="0"/>
          <w:color w:val="000000"/>
          <w:sz w:val="24"/>
          <w:szCs w:val="20"/>
          <w:lang w:eastAsia="pt-BR"/>
        </w:rPr>
        <w:t xml:space="preserve">Deputado </w:t>
      </w:r>
      <w:r w:rsidRPr="0045775B">
        <w:rPr>
          <w:rFonts w:eastAsia="Times New Roman"/>
          <w:sz w:val="24"/>
          <w:szCs w:val="20"/>
          <w:lang w:eastAsia="pt-BR"/>
        </w:rPr>
        <w:t>MILTON MONTI</w:t>
      </w:r>
    </w:p>
    <w:p w:rsidR="0045775B" w:rsidRPr="0045775B" w:rsidRDefault="0045775B" w:rsidP="0045775B">
      <w:pPr>
        <w:rPr>
          <w:rFonts w:ascii="Times New Roman" w:eastAsia="Times New Roman" w:hAnsi="Times New Roman" w:cs="Times New Roman"/>
          <w:szCs w:val="20"/>
          <w:lang w:eastAsia="pt-BR"/>
        </w:rPr>
      </w:pPr>
    </w:p>
    <w:p w:rsidR="0045775B" w:rsidRPr="0045775B" w:rsidRDefault="0045775B" w:rsidP="0045775B">
      <w:pPr>
        <w:pBdr>
          <w:top w:val="single" w:sz="4" w:space="1" w:color="auto"/>
          <w:left w:val="single" w:sz="4" w:space="4" w:color="auto"/>
          <w:bottom w:val="single" w:sz="4" w:space="1" w:color="auto"/>
          <w:right w:val="single" w:sz="4" w:space="4" w:color="auto"/>
        </w:pBdr>
        <w:tabs>
          <w:tab w:val="center" w:pos="4419"/>
          <w:tab w:val="right" w:pos="8838"/>
        </w:tabs>
        <w:ind w:firstLine="709"/>
        <w:jc w:val="center"/>
        <w:rPr>
          <w:rFonts w:eastAsia="Times New Roman" w:cs="Times New Roman"/>
          <w:b/>
          <w:sz w:val="24"/>
          <w:szCs w:val="20"/>
          <w:lang w:eastAsia="pt-BR"/>
        </w:rPr>
      </w:pPr>
      <w:r w:rsidRPr="0045775B">
        <w:rPr>
          <w:rFonts w:eastAsia="Times New Roman" w:cs="Times New Roman"/>
          <w:b/>
          <w:sz w:val="24"/>
          <w:szCs w:val="20"/>
          <w:lang w:eastAsia="pt-BR"/>
        </w:rPr>
        <w:t>LEGISLAÇÃO CITADA ANEXADA PELA</w:t>
      </w:r>
    </w:p>
    <w:p w:rsidR="0045775B" w:rsidRPr="0045775B" w:rsidRDefault="0045775B" w:rsidP="0045775B">
      <w:pPr>
        <w:pBdr>
          <w:top w:val="single" w:sz="4" w:space="1" w:color="auto"/>
          <w:left w:val="single" w:sz="4" w:space="4" w:color="auto"/>
          <w:bottom w:val="single" w:sz="4" w:space="1" w:color="auto"/>
          <w:right w:val="single" w:sz="4" w:space="4" w:color="auto"/>
        </w:pBdr>
        <w:tabs>
          <w:tab w:val="center" w:pos="4419"/>
          <w:tab w:val="right" w:pos="8838"/>
        </w:tabs>
        <w:ind w:firstLine="709"/>
        <w:jc w:val="center"/>
        <w:rPr>
          <w:rFonts w:eastAsia="Times New Roman" w:cs="Times New Roman"/>
          <w:b/>
          <w:sz w:val="24"/>
          <w:szCs w:val="20"/>
          <w:lang w:eastAsia="pt-BR"/>
        </w:rPr>
      </w:pPr>
      <w:r w:rsidRPr="0045775B">
        <w:rPr>
          <w:rFonts w:eastAsia="Times New Roman" w:cs="Times New Roman"/>
          <w:b/>
          <w:sz w:val="24"/>
          <w:szCs w:val="20"/>
          <w:lang w:eastAsia="pt-BR"/>
        </w:rPr>
        <w:t>COORDENAÇÃO DE ESTUDOS LEGISLATIVOS - CEDI</w:t>
      </w:r>
    </w:p>
    <w:p w:rsidR="0045775B" w:rsidRPr="0045775B" w:rsidRDefault="0045775B" w:rsidP="0045775B">
      <w:pPr>
        <w:rPr>
          <w:rFonts w:ascii="Times New Roman" w:eastAsia="Times New Roman" w:hAnsi="Times New Roman" w:cs="Times New Roman"/>
          <w:szCs w:val="20"/>
          <w:lang w:eastAsia="pt-BR"/>
        </w:rPr>
      </w:pPr>
    </w:p>
    <w:p w:rsidR="0045775B" w:rsidRPr="0045775B" w:rsidRDefault="0045775B" w:rsidP="0045775B">
      <w:pPr>
        <w:ind w:left="100" w:right="40"/>
        <w:jc w:val="center"/>
        <w:rPr>
          <w:rFonts w:ascii="Times New Roman" w:eastAsia="Times New Roman" w:hAnsi="Times New Roman" w:cs="Times New Roman"/>
          <w:b/>
          <w:caps/>
          <w:snapToGrid w:val="0"/>
          <w:sz w:val="28"/>
          <w:szCs w:val="20"/>
          <w:lang w:eastAsia="pt-BR"/>
        </w:rPr>
      </w:pPr>
      <w:r w:rsidRPr="0045775B">
        <w:rPr>
          <w:rFonts w:ascii="Times New Roman" w:eastAsia="Times New Roman" w:hAnsi="Times New Roman" w:cs="Times New Roman"/>
          <w:b/>
          <w:caps/>
          <w:snapToGrid w:val="0"/>
          <w:sz w:val="28"/>
          <w:szCs w:val="20"/>
          <w:lang w:eastAsia="pt-BR"/>
        </w:rPr>
        <w:t xml:space="preserve"> LEI Nº 10.826, DE 22 DE DEZEMBRO DE 2003</w:t>
      </w:r>
    </w:p>
    <w:p w:rsidR="0045775B" w:rsidRPr="0045775B" w:rsidRDefault="0045775B" w:rsidP="0045775B">
      <w:pPr>
        <w:jc w:val="left"/>
        <w:rPr>
          <w:rFonts w:ascii="Times New Roman" w:eastAsia="Times New Roman" w:hAnsi="Times New Roman" w:cs="Times New Roman"/>
          <w:sz w:val="24"/>
          <w:szCs w:val="20"/>
          <w:lang w:eastAsia="pt-BR"/>
        </w:rPr>
      </w:pPr>
    </w:p>
    <w:p w:rsidR="0045775B" w:rsidRPr="0045775B" w:rsidRDefault="0045775B" w:rsidP="0045775B">
      <w:pPr>
        <w:ind w:left="4536"/>
        <w:rPr>
          <w:rFonts w:ascii="Times New Roman" w:eastAsia="Times New Roman" w:hAnsi="Times New Roman" w:cs="Times New Roman"/>
          <w:sz w:val="24"/>
          <w:szCs w:val="20"/>
          <w:lang w:eastAsia="pt-BR"/>
        </w:rPr>
      </w:pPr>
      <w:r w:rsidRPr="0045775B">
        <w:rPr>
          <w:rFonts w:ascii="Times New Roman" w:eastAsia="Times New Roman" w:hAnsi="Times New Roman" w:cs="Times New Roman"/>
          <w:sz w:val="24"/>
          <w:szCs w:val="20"/>
          <w:lang w:eastAsia="pt-BR"/>
        </w:rPr>
        <w:t xml:space="preserve">Dispõe sobre registro, posse e comercialização de armas de fogo e munição, sobre o Sistema Nacional de Armas - Sinarm, define crimes e dá outras providências. </w:t>
      </w:r>
    </w:p>
    <w:p w:rsidR="0045775B" w:rsidRPr="0045775B" w:rsidRDefault="0045775B" w:rsidP="0045775B">
      <w:pPr>
        <w:jc w:val="left"/>
        <w:rPr>
          <w:rFonts w:ascii="Times New Roman" w:eastAsia="Times New Roman" w:hAnsi="Times New Roman" w:cs="Times New Roman"/>
          <w:sz w:val="24"/>
          <w:szCs w:val="20"/>
          <w:lang w:eastAsia="pt-BR"/>
        </w:rPr>
      </w:pPr>
      <w:r w:rsidRPr="0045775B">
        <w:rPr>
          <w:rFonts w:ascii="Times New Roman" w:eastAsia="Times New Roman" w:hAnsi="Times New Roman" w:cs="Times New Roman"/>
          <w:szCs w:val="20"/>
          <w:lang w:eastAsia="pt-BR"/>
        </w:rPr>
        <w:t xml:space="preserve"> </w:t>
      </w:r>
    </w:p>
    <w:p w:rsidR="0045775B" w:rsidRPr="0045775B" w:rsidRDefault="0045775B" w:rsidP="0045775B">
      <w:pPr>
        <w:ind w:firstLine="1134"/>
        <w:rPr>
          <w:rFonts w:ascii="Times New Roman" w:eastAsia="Times New Roman" w:hAnsi="Times New Roman" w:cs="Times New Roman"/>
          <w:b/>
          <w:sz w:val="24"/>
          <w:szCs w:val="20"/>
          <w:lang w:eastAsia="pt-BR"/>
        </w:rPr>
      </w:pPr>
      <w:r w:rsidRPr="0045775B">
        <w:rPr>
          <w:rFonts w:ascii="Times New Roman" w:eastAsia="Times New Roman" w:hAnsi="Times New Roman" w:cs="Times New Roman"/>
          <w:b/>
          <w:sz w:val="24"/>
          <w:szCs w:val="20"/>
          <w:lang w:eastAsia="pt-BR"/>
        </w:rPr>
        <w:t xml:space="preserve">O PRESIDENTE DA REPÚBLICA </w:t>
      </w:r>
    </w:p>
    <w:p w:rsidR="0045775B" w:rsidRPr="0045775B" w:rsidRDefault="0045775B" w:rsidP="0045775B">
      <w:pPr>
        <w:ind w:firstLine="1134"/>
        <w:rPr>
          <w:rFonts w:ascii="Times New Roman" w:eastAsia="Times New Roman" w:hAnsi="Times New Roman" w:cs="Times New Roman"/>
          <w:sz w:val="24"/>
          <w:szCs w:val="20"/>
          <w:lang w:eastAsia="pt-BR"/>
        </w:rPr>
      </w:pPr>
      <w:r w:rsidRPr="0045775B">
        <w:rPr>
          <w:rFonts w:ascii="Times New Roman" w:eastAsia="Times New Roman" w:hAnsi="Times New Roman" w:cs="Times New Roman"/>
          <w:sz w:val="24"/>
          <w:szCs w:val="20"/>
          <w:lang w:eastAsia="pt-BR"/>
        </w:rPr>
        <w:t xml:space="preserve">Faço saber que o Congresso Nacional decreta e eu sanciono a seguinte Lei: </w:t>
      </w:r>
    </w:p>
    <w:p w:rsidR="0045775B" w:rsidRPr="0045775B" w:rsidRDefault="00884911" w:rsidP="0045775B">
      <w:pPr>
        <w:jc w:val="center"/>
        <w:rPr>
          <w:rFonts w:ascii="Times New Roman" w:eastAsia="Times New Roman" w:hAnsi="Times New Roman" w:cs="Times New Roman"/>
          <w:caps/>
          <w:sz w:val="24"/>
          <w:szCs w:val="20"/>
          <w:lang w:eastAsia="pt-BR"/>
        </w:rPr>
      </w:pPr>
      <w:r>
        <w:rPr>
          <w:rFonts w:ascii="Times New Roman" w:eastAsia="Times New Roman" w:hAnsi="Times New Roman" w:cs="Times New Roman"/>
          <w:caps/>
          <w:sz w:val="24"/>
          <w:szCs w:val="20"/>
          <w:lang w:eastAsia="pt-BR"/>
        </w:rPr>
        <w:t>............</w:t>
      </w:r>
      <w:r w:rsidR="0045775B" w:rsidRPr="0045775B">
        <w:rPr>
          <w:rFonts w:ascii="Times New Roman" w:eastAsia="Times New Roman" w:hAnsi="Times New Roman" w:cs="Times New Roman"/>
          <w:caps/>
          <w:sz w:val="24"/>
          <w:szCs w:val="20"/>
          <w:lang w:eastAsia="pt-BR"/>
        </w:rPr>
        <w:t>...........................................................................................................................................</w:t>
      </w:r>
    </w:p>
    <w:p w:rsidR="0045775B" w:rsidRPr="0045775B" w:rsidRDefault="0045775B" w:rsidP="0045775B">
      <w:pPr>
        <w:jc w:val="center"/>
        <w:rPr>
          <w:rFonts w:ascii="Times New Roman" w:eastAsia="Times New Roman" w:hAnsi="Times New Roman" w:cs="Times New Roman"/>
          <w:caps/>
          <w:sz w:val="24"/>
          <w:szCs w:val="20"/>
          <w:lang w:eastAsia="pt-BR"/>
        </w:rPr>
      </w:pPr>
    </w:p>
    <w:p w:rsidR="0045775B" w:rsidRPr="0045775B" w:rsidRDefault="0045775B" w:rsidP="0045775B">
      <w:pPr>
        <w:jc w:val="center"/>
        <w:rPr>
          <w:rFonts w:ascii="Times New Roman" w:eastAsia="Times New Roman" w:hAnsi="Times New Roman" w:cs="Times New Roman"/>
          <w:sz w:val="24"/>
          <w:szCs w:val="20"/>
          <w:lang w:eastAsia="pt-BR"/>
        </w:rPr>
      </w:pPr>
      <w:r w:rsidRPr="0045775B">
        <w:rPr>
          <w:rFonts w:ascii="Times New Roman" w:eastAsia="Times New Roman" w:hAnsi="Times New Roman" w:cs="Times New Roman"/>
          <w:sz w:val="24"/>
          <w:szCs w:val="20"/>
          <w:lang w:eastAsia="pt-BR"/>
        </w:rPr>
        <w:t>CAPÍTULO III</w:t>
      </w:r>
    </w:p>
    <w:p w:rsidR="0045775B" w:rsidRPr="0045775B" w:rsidRDefault="0045775B" w:rsidP="0045775B">
      <w:pPr>
        <w:jc w:val="center"/>
        <w:rPr>
          <w:rFonts w:ascii="Times New Roman" w:eastAsia="Times New Roman" w:hAnsi="Times New Roman" w:cs="Times New Roman"/>
          <w:sz w:val="24"/>
          <w:szCs w:val="20"/>
          <w:lang w:eastAsia="pt-BR"/>
        </w:rPr>
      </w:pPr>
      <w:r w:rsidRPr="0045775B">
        <w:rPr>
          <w:rFonts w:ascii="Times New Roman" w:eastAsia="Times New Roman" w:hAnsi="Times New Roman" w:cs="Times New Roman"/>
          <w:sz w:val="24"/>
          <w:szCs w:val="20"/>
          <w:lang w:eastAsia="pt-BR"/>
        </w:rPr>
        <w:t>DO PORTE</w:t>
      </w:r>
    </w:p>
    <w:p w:rsidR="0045775B" w:rsidRPr="0045775B" w:rsidRDefault="0045775B" w:rsidP="0045775B">
      <w:pPr>
        <w:ind w:firstLine="1134"/>
        <w:rPr>
          <w:rFonts w:ascii="Times New Roman" w:eastAsia="Times New Roman" w:hAnsi="Times New Roman" w:cs="Times New Roman"/>
          <w:sz w:val="24"/>
          <w:szCs w:val="20"/>
          <w:lang w:eastAsia="pt-BR"/>
        </w:rPr>
      </w:pPr>
    </w:p>
    <w:p w:rsidR="0045775B" w:rsidRPr="0045775B" w:rsidRDefault="0045775B" w:rsidP="0045775B">
      <w:pPr>
        <w:ind w:firstLine="1134"/>
        <w:rPr>
          <w:rFonts w:ascii="Times New Roman" w:eastAsia="Times New Roman" w:hAnsi="Times New Roman" w:cs="Times New Roman"/>
          <w:sz w:val="24"/>
          <w:szCs w:val="20"/>
          <w:lang w:eastAsia="pt-BR"/>
        </w:rPr>
      </w:pPr>
      <w:r w:rsidRPr="0045775B">
        <w:rPr>
          <w:rFonts w:ascii="Times New Roman" w:eastAsia="Times New Roman" w:hAnsi="Times New Roman" w:cs="Times New Roman"/>
          <w:sz w:val="24"/>
          <w:szCs w:val="20"/>
          <w:lang w:eastAsia="pt-BR"/>
        </w:rPr>
        <w:t xml:space="preserve">Art. 6º É proibido o porte de arma de fogo em todo o território nacional, salvo para os casos previstos em legislação própria e para: </w:t>
      </w:r>
    </w:p>
    <w:p w:rsidR="0045775B" w:rsidRPr="0045775B" w:rsidRDefault="0045775B" w:rsidP="0045775B">
      <w:pPr>
        <w:ind w:firstLine="1134"/>
        <w:rPr>
          <w:rFonts w:ascii="Times New Roman" w:eastAsia="Times New Roman" w:hAnsi="Times New Roman" w:cs="Times New Roman"/>
          <w:sz w:val="24"/>
          <w:szCs w:val="20"/>
          <w:lang w:eastAsia="pt-BR"/>
        </w:rPr>
      </w:pPr>
      <w:r w:rsidRPr="0045775B">
        <w:rPr>
          <w:rFonts w:ascii="Times New Roman" w:eastAsia="Times New Roman" w:hAnsi="Times New Roman" w:cs="Times New Roman"/>
          <w:sz w:val="24"/>
          <w:szCs w:val="20"/>
          <w:lang w:eastAsia="pt-BR"/>
        </w:rPr>
        <w:t xml:space="preserve">I - os integrantes das Forças Armadas; </w:t>
      </w:r>
    </w:p>
    <w:p w:rsidR="0045775B" w:rsidRPr="0045775B" w:rsidRDefault="0045775B" w:rsidP="0045775B">
      <w:pPr>
        <w:ind w:firstLine="1134"/>
        <w:rPr>
          <w:rFonts w:ascii="Times New Roman" w:eastAsia="Times New Roman" w:hAnsi="Times New Roman" w:cs="Times New Roman"/>
          <w:sz w:val="24"/>
          <w:szCs w:val="20"/>
          <w:lang w:eastAsia="pt-BR"/>
        </w:rPr>
      </w:pPr>
      <w:r w:rsidRPr="0045775B">
        <w:rPr>
          <w:rFonts w:ascii="Times New Roman" w:eastAsia="Times New Roman" w:hAnsi="Times New Roman" w:cs="Times New Roman"/>
          <w:sz w:val="24"/>
          <w:szCs w:val="20"/>
          <w:lang w:eastAsia="pt-BR"/>
        </w:rPr>
        <w:t xml:space="preserve">II - os integrantes de órgãos referidos nos incisos do </w:t>
      </w:r>
      <w:r w:rsidRPr="0045775B">
        <w:rPr>
          <w:rFonts w:ascii="Times New Roman" w:eastAsia="Times New Roman" w:hAnsi="Times New Roman" w:cs="Times New Roman"/>
          <w:i/>
          <w:sz w:val="24"/>
          <w:szCs w:val="20"/>
          <w:lang w:eastAsia="pt-BR"/>
        </w:rPr>
        <w:t>caput</w:t>
      </w:r>
      <w:r w:rsidRPr="0045775B">
        <w:rPr>
          <w:rFonts w:ascii="Times New Roman" w:eastAsia="Times New Roman" w:hAnsi="Times New Roman" w:cs="Times New Roman"/>
          <w:sz w:val="24"/>
          <w:szCs w:val="20"/>
          <w:lang w:eastAsia="pt-BR"/>
        </w:rPr>
        <w:t xml:space="preserve"> do art. 144 da Constituição Federal; </w:t>
      </w:r>
    </w:p>
    <w:p w:rsidR="0045775B" w:rsidRPr="0045775B" w:rsidRDefault="0045775B" w:rsidP="0045775B">
      <w:pPr>
        <w:ind w:firstLine="1134"/>
        <w:rPr>
          <w:rFonts w:ascii="Times New Roman" w:eastAsia="Times New Roman" w:hAnsi="Times New Roman" w:cs="Times New Roman"/>
          <w:sz w:val="24"/>
          <w:szCs w:val="20"/>
          <w:lang w:eastAsia="pt-BR"/>
        </w:rPr>
      </w:pPr>
      <w:r w:rsidRPr="0045775B">
        <w:rPr>
          <w:rFonts w:ascii="Times New Roman" w:eastAsia="Times New Roman" w:hAnsi="Times New Roman" w:cs="Times New Roman"/>
          <w:sz w:val="24"/>
          <w:szCs w:val="20"/>
          <w:lang w:eastAsia="pt-BR"/>
        </w:rPr>
        <w:t xml:space="preserve">III - os integrantes das guardas municipais das capitais dos Estados e dos Municípios com mais de 500.000 (quinhentos mil) habitantes, nas condições estabelecidas no regulamento desta Lei; </w:t>
      </w:r>
    </w:p>
    <w:p w:rsidR="0045775B" w:rsidRPr="0045775B" w:rsidRDefault="0045775B" w:rsidP="0045775B">
      <w:pPr>
        <w:ind w:firstLine="1134"/>
        <w:rPr>
          <w:rFonts w:ascii="Times New Roman" w:eastAsia="Times New Roman" w:hAnsi="Times New Roman" w:cs="Times New Roman"/>
          <w:i/>
          <w:color w:val="0000FF"/>
          <w:sz w:val="24"/>
          <w:szCs w:val="20"/>
          <w:u w:val="single"/>
          <w:lang w:eastAsia="pt-BR"/>
        </w:rPr>
      </w:pPr>
      <w:r w:rsidRPr="0045775B">
        <w:rPr>
          <w:rFonts w:ascii="Times New Roman" w:eastAsia="Times New Roman" w:hAnsi="Times New Roman" w:cs="Times New Roman"/>
          <w:sz w:val="24"/>
          <w:szCs w:val="20"/>
          <w:lang w:eastAsia="pt-BR"/>
        </w:rPr>
        <w:t xml:space="preserve">IV - os integrantes das guardas municipais dos Municípios com mais de 50.000 (cinqüenta mil) e menos de 500.000 (quinhentos mil) habitantes, quando em serviço; </w:t>
      </w:r>
      <w:r w:rsidRPr="0045775B">
        <w:rPr>
          <w:rFonts w:ascii="Times New Roman" w:eastAsia="Times New Roman" w:hAnsi="Times New Roman" w:cs="Times New Roman"/>
          <w:i/>
          <w:sz w:val="24"/>
          <w:szCs w:val="20"/>
          <w:lang w:eastAsia="pt-BR"/>
        </w:rPr>
        <w:fldChar w:fldCharType="begin"/>
      </w:r>
      <w:r w:rsidRPr="0045775B">
        <w:rPr>
          <w:rFonts w:ascii="Times New Roman" w:eastAsia="Times New Roman" w:hAnsi="Times New Roman" w:cs="Times New Roman"/>
          <w:i/>
          <w:sz w:val="24"/>
          <w:szCs w:val="20"/>
          <w:lang w:eastAsia="pt-BR"/>
        </w:rPr>
        <w:instrText xml:space="preserve"> HYPERLINK "http://www2.camara.gov.br/internet/legislacao/legin.html/textos/visualizarTexto.html?ideNorma=532278&amp;seqTexto=14217&amp;PalavrasDestaque=" </w:instrText>
      </w:r>
      <w:r w:rsidRPr="0045775B">
        <w:rPr>
          <w:rFonts w:ascii="Times New Roman" w:eastAsia="Times New Roman" w:hAnsi="Times New Roman" w:cs="Times New Roman"/>
          <w:i/>
          <w:sz w:val="24"/>
          <w:szCs w:val="20"/>
          <w:lang w:eastAsia="pt-BR"/>
        </w:rPr>
        <w:fldChar w:fldCharType="separate"/>
      </w:r>
      <w:r w:rsidRPr="0045775B">
        <w:rPr>
          <w:rFonts w:ascii="Times New Roman" w:eastAsia="Times New Roman" w:hAnsi="Times New Roman" w:cs="Times New Roman"/>
          <w:i/>
          <w:color w:val="0000FF"/>
          <w:sz w:val="24"/>
          <w:szCs w:val="20"/>
          <w:u w:val="single"/>
          <w:lang w:eastAsia="pt-BR"/>
        </w:rPr>
        <w:t>(Inciso com redação dada pela Lei nº 10.867, de 12/5/2004)</w:t>
      </w:r>
    </w:p>
    <w:p w:rsidR="0045775B" w:rsidRPr="0045775B" w:rsidRDefault="0045775B" w:rsidP="0045775B">
      <w:pPr>
        <w:ind w:firstLine="1134"/>
        <w:rPr>
          <w:rFonts w:ascii="Times New Roman" w:eastAsia="Times New Roman" w:hAnsi="Times New Roman" w:cs="Times New Roman"/>
          <w:sz w:val="24"/>
          <w:szCs w:val="20"/>
          <w:lang w:eastAsia="pt-BR"/>
        </w:rPr>
      </w:pPr>
      <w:r w:rsidRPr="0045775B">
        <w:rPr>
          <w:rFonts w:ascii="Times New Roman" w:eastAsia="Times New Roman" w:hAnsi="Times New Roman" w:cs="Times New Roman"/>
          <w:i/>
          <w:sz w:val="24"/>
          <w:szCs w:val="20"/>
          <w:lang w:eastAsia="pt-BR"/>
        </w:rPr>
        <w:fldChar w:fldCharType="end"/>
      </w:r>
      <w:r w:rsidRPr="0045775B">
        <w:rPr>
          <w:rFonts w:ascii="Times New Roman" w:eastAsia="Times New Roman" w:hAnsi="Times New Roman" w:cs="Times New Roman"/>
          <w:sz w:val="24"/>
          <w:szCs w:val="20"/>
          <w:lang w:eastAsia="pt-BR"/>
        </w:rPr>
        <w:t xml:space="preserve">V - os agentes operacionais da Agência Brasileira de Inteligência e os agentes do Departamento de Segurança do Gabinete de Segurança Institucional da Presidência da República; </w:t>
      </w:r>
    </w:p>
    <w:p w:rsidR="0045775B" w:rsidRPr="0045775B" w:rsidRDefault="0045775B" w:rsidP="0045775B">
      <w:pPr>
        <w:ind w:firstLine="1134"/>
        <w:rPr>
          <w:rFonts w:ascii="Times New Roman" w:eastAsia="Times New Roman" w:hAnsi="Times New Roman" w:cs="Times New Roman"/>
          <w:sz w:val="24"/>
          <w:szCs w:val="20"/>
          <w:lang w:eastAsia="pt-BR"/>
        </w:rPr>
      </w:pPr>
      <w:r w:rsidRPr="0045775B">
        <w:rPr>
          <w:rFonts w:ascii="Times New Roman" w:eastAsia="Times New Roman" w:hAnsi="Times New Roman" w:cs="Times New Roman"/>
          <w:sz w:val="24"/>
          <w:szCs w:val="20"/>
          <w:lang w:eastAsia="pt-BR"/>
        </w:rPr>
        <w:t xml:space="preserve">VI - os integrantes dos órgãos policiais referidos no art. 51, IV, e no art. 52, XIII, da Constituição Federal; </w:t>
      </w:r>
    </w:p>
    <w:p w:rsidR="0045775B" w:rsidRPr="0045775B" w:rsidRDefault="0045775B" w:rsidP="0045775B">
      <w:pPr>
        <w:ind w:firstLine="1134"/>
        <w:rPr>
          <w:rFonts w:ascii="Times New Roman" w:eastAsia="Times New Roman" w:hAnsi="Times New Roman" w:cs="Times New Roman"/>
          <w:sz w:val="24"/>
          <w:szCs w:val="20"/>
          <w:lang w:eastAsia="pt-BR"/>
        </w:rPr>
      </w:pPr>
      <w:r w:rsidRPr="0045775B">
        <w:rPr>
          <w:rFonts w:ascii="Times New Roman" w:eastAsia="Times New Roman" w:hAnsi="Times New Roman" w:cs="Times New Roman"/>
          <w:sz w:val="24"/>
          <w:szCs w:val="20"/>
          <w:lang w:eastAsia="pt-BR"/>
        </w:rPr>
        <w:t xml:space="preserve">VII - os integrantes do quadro efetivo dos agentes e guardas prisionais, os integrantes das escoltas de presos e as guardas portuárias; </w:t>
      </w:r>
    </w:p>
    <w:p w:rsidR="0045775B" w:rsidRPr="0045775B" w:rsidRDefault="0045775B" w:rsidP="0045775B">
      <w:pPr>
        <w:ind w:firstLine="1134"/>
        <w:rPr>
          <w:rFonts w:ascii="Times New Roman" w:eastAsia="Times New Roman" w:hAnsi="Times New Roman" w:cs="Times New Roman"/>
          <w:sz w:val="24"/>
          <w:szCs w:val="20"/>
          <w:lang w:eastAsia="pt-BR"/>
        </w:rPr>
      </w:pPr>
      <w:r w:rsidRPr="0045775B">
        <w:rPr>
          <w:rFonts w:ascii="Times New Roman" w:eastAsia="Times New Roman" w:hAnsi="Times New Roman" w:cs="Times New Roman"/>
          <w:sz w:val="24"/>
          <w:szCs w:val="20"/>
          <w:lang w:eastAsia="pt-BR"/>
        </w:rPr>
        <w:t xml:space="preserve">VIII - as empresas de segurança privada e de transporte de valores constituídas, nos termos desta Lei; </w:t>
      </w:r>
    </w:p>
    <w:p w:rsidR="0045775B" w:rsidRPr="0045775B" w:rsidRDefault="0045775B" w:rsidP="0045775B">
      <w:pPr>
        <w:ind w:firstLine="1134"/>
        <w:rPr>
          <w:rFonts w:ascii="Times New Roman" w:eastAsia="Times New Roman" w:hAnsi="Times New Roman" w:cs="Times New Roman"/>
          <w:sz w:val="24"/>
          <w:szCs w:val="20"/>
          <w:lang w:eastAsia="pt-BR"/>
        </w:rPr>
      </w:pPr>
      <w:r w:rsidRPr="0045775B">
        <w:rPr>
          <w:rFonts w:ascii="Times New Roman" w:eastAsia="Times New Roman" w:hAnsi="Times New Roman" w:cs="Times New Roman"/>
          <w:sz w:val="24"/>
          <w:szCs w:val="20"/>
          <w:lang w:eastAsia="pt-BR"/>
        </w:rPr>
        <w:t xml:space="preserve">IX - para os integrantes das entidades de desporto legalmente constituídas, cujas atividades esportivas demandem o uso de armas de fogo, na forma do regulamento desta Lei, observando-se, no que couber, a legislação ambiental. </w:t>
      </w:r>
    </w:p>
    <w:p w:rsidR="0045775B" w:rsidRPr="0045775B" w:rsidRDefault="0045775B" w:rsidP="0045775B">
      <w:pPr>
        <w:ind w:firstLine="1134"/>
        <w:rPr>
          <w:rFonts w:ascii="Times New Roman" w:eastAsia="Times New Roman" w:hAnsi="Times New Roman" w:cs="Times New Roman"/>
          <w:i/>
          <w:color w:val="0000FF"/>
          <w:sz w:val="24"/>
          <w:szCs w:val="20"/>
          <w:u w:val="single"/>
          <w:lang w:eastAsia="pt-BR"/>
        </w:rPr>
      </w:pPr>
      <w:r w:rsidRPr="0045775B">
        <w:rPr>
          <w:rFonts w:ascii="Times New Roman" w:eastAsia="Times New Roman" w:hAnsi="Times New Roman" w:cs="Times New Roman"/>
          <w:sz w:val="24"/>
          <w:szCs w:val="20"/>
          <w:lang w:eastAsia="pt-BR"/>
        </w:rPr>
        <w:t xml:space="preserve">X - integrantes das Carreiras de Auditoria da Receita Federal do Brasil e de Auditoria-Fiscal do Trabalho, cargos de Auditor-Fiscal e Analista Tributário. </w:t>
      </w:r>
      <w:hyperlink r:id="rId8" w:history="1">
        <w:r w:rsidRPr="0045775B">
          <w:rPr>
            <w:rFonts w:ascii="Times New Roman" w:eastAsia="Times New Roman" w:hAnsi="Times New Roman" w:cs="Times New Roman"/>
            <w:i/>
            <w:color w:val="0000FF"/>
            <w:sz w:val="24"/>
            <w:szCs w:val="20"/>
            <w:u w:val="single"/>
            <w:lang w:eastAsia="pt-BR"/>
          </w:rPr>
          <w:t>(Inciso acrescido pela Lei nº 11.118, de 19/5/2005</w:t>
        </w:r>
      </w:hyperlink>
      <w:r w:rsidRPr="0045775B">
        <w:rPr>
          <w:rFonts w:ascii="Times New Roman" w:eastAsia="Times New Roman" w:hAnsi="Times New Roman" w:cs="Times New Roman"/>
          <w:i/>
          <w:sz w:val="24"/>
          <w:szCs w:val="20"/>
          <w:lang w:eastAsia="pt-BR"/>
        </w:rPr>
        <w:t xml:space="preserve"> e </w:t>
      </w:r>
      <w:r w:rsidRPr="0045775B">
        <w:rPr>
          <w:rFonts w:ascii="Times New Roman" w:eastAsia="Times New Roman" w:hAnsi="Times New Roman" w:cs="Times New Roman"/>
          <w:i/>
          <w:sz w:val="24"/>
          <w:szCs w:val="20"/>
          <w:lang w:eastAsia="pt-BR"/>
        </w:rPr>
        <w:fldChar w:fldCharType="begin"/>
      </w:r>
      <w:r w:rsidRPr="0045775B">
        <w:rPr>
          <w:rFonts w:ascii="Times New Roman" w:eastAsia="Times New Roman" w:hAnsi="Times New Roman" w:cs="Times New Roman"/>
          <w:i/>
          <w:sz w:val="24"/>
          <w:szCs w:val="20"/>
          <w:lang w:eastAsia="pt-BR"/>
        </w:rPr>
        <w:instrText xml:space="preserve"> HYPERLINK "http://www2.camara.gov.br/internet/legislacao/legin.html/textos/visualizarTexto.html?ideNorma=556644&amp;seqTexto=76732&amp;PalavrasDestaque=" </w:instrText>
      </w:r>
      <w:r w:rsidRPr="0045775B">
        <w:rPr>
          <w:rFonts w:ascii="Times New Roman" w:eastAsia="Times New Roman" w:hAnsi="Times New Roman" w:cs="Times New Roman"/>
          <w:i/>
          <w:sz w:val="24"/>
          <w:szCs w:val="20"/>
          <w:lang w:eastAsia="pt-BR"/>
        </w:rPr>
        <w:fldChar w:fldCharType="separate"/>
      </w:r>
      <w:r w:rsidRPr="0045775B">
        <w:rPr>
          <w:rFonts w:ascii="Times New Roman" w:eastAsia="Times New Roman" w:hAnsi="Times New Roman" w:cs="Times New Roman"/>
          <w:i/>
          <w:color w:val="0000FF"/>
          <w:sz w:val="24"/>
          <w:szCs w:val="20"/>
          <w:u w:val="single"/>
          <w:lang w:eastAsia="pt-BR"/>
        </w:rPr>
        <w:t>com nova redação dada pela Lei nº 11.501, de 11/7/2007)</w:t>
      </w:r>
    </w:p>
    <w:p w:rsidR="0045775B" w:rsidRPr="0045775B" w:rsidRDefault="0045775B" w:rsidP="0045775B">
      <w:pPr>
        <w:ind w:firstLine="1134"/>
        <w:rPr>
          <w:rFonts w:ascii="Times New Roman" w:eastAsia="Times New Roman" w:hAnsi="Times New Roman" w:cs="Times New Roman"/>
          <w:sz w:val="24"/>
          <w:szCs w:val="20"/>
          <w:lang w:eastAsia="pt-BR"/>
        </w:rPr>
      </w:pPr>
      <w:r w:rsidRPr="0045775B">
        <w:rPr>
          <w:rFonts w:ascii="Times New Roman" w:eastAsia="Times New Roman" w:hAnsi="Times New Roman" w:cs="Times New Roman"/>
          <w:i/>
          <w:sz w:val="24"/>
          <w:szCs w:val="20"/>
          <w:lang w:eastAsia="pt-BR"/>
        </w:rPr>
        <w:fldChar w:fldCharType="end"/>
      </w:r>
      <w:r w:rsidRPr="0045775B">
        <w:rPr>
          <w:rFonts w:ascii="Times New Roman" w:eastAsia="Times New Roman" w:hAnsi="Times New Roman" w:cs="Times New Roman"/>
          <w:sz w:val="24"/>
          <w:szCs w:val="20"/>
          <w:lang w:eastAsia="pt-BR"/>
        </w:rPr>
        <w:t xml:space="preserve">§ 1º As pessoas previstas nos incisos I, II, III, V e VI do </w:t>
      </w:r>
      <w:r w:rsidRPr="0045775B">
        <w:rPr>
          <w:rFonts w:ascii="Times New Roman" w:eastAsia="Times New Roman" w:hAnsi="Times New Roman" w:cs="Times New Roman"/>
          <w:i/>
          <w:sz w:val="24"/>
          <w:szCs w:val="20"/>
          <w:lang w:eastAsia="pt-BR"/>
        </w:rPr>
        <w:t>caput</w:t>
      </w:r>
      <w:r w:rsidRPr="0045775B">
        <w:rPr>
          <w:rFonts w:ascii="Times New Roman" w:eastAsia="Times New Roman" w:hAnsi="Times New Roman" w:cs="Times New Roman"/>
          <w:sz w:val="24"/>
          <w:szCs w:val="20"/>
          <w:lang w:eastAsia="pt-BR"/>
        </w:rPr>
        <w:t xml:space="preserve"> deste artigo terão direito de portar arma de fogo de propriedade particular ou fornecida pela respectiva corporação ou instituição, mesmo fora de serviço, nos termos do regulamento desta Lei, com validade em âmbito nacional para aquelas constantes dos incisos I, II, V e VI. </w:t>
      </w:r>
      <w:hyperlink r:id="rId9" w:history="1">
        <w:r w:rsidRPr="0045775B">
          <w:rPr>
            <w:rFonts w:ascii="Times New Roman" w:eastAsia="Times New Roman" w:hAnsi="Times New Roman" w:cs="Times New Roman"/>
            <w:i/>
            <w:color w:val="0000FF"/>
            <w:sz w:val="24"/>
            <w:szCs w:val="20"/>
            <w:u w:val="single"/>
            <w:lang w:eastAsia="pt-BR"/>
          </w:rPr>
          <w:t>(Parágrafo com redação dada pela Lei nº 11.706, de 19/6/2008)</w:t>
        </w:r>
      </w:hyperlink>
    </w:p>
    <w:p w:rsidR="0045775B" w:rsidRPr="0045775B" w:rsidRDefault="0045775B" w:rsidP="0045775B">
      <w:pPr>
        <w:ind w:firstLine="1134"/>
        <w:rPr>
          <w:rFonts w:ascii="Times New Roman" w:eastAsia="Times New Roman" w:hAnsi="Times New Roman" w:cs="Times New Roman"/>
          <w:sz w:val="24"/>
          <w:szCs w:val="20"/>
          <w:lang w:eastAsia="pt-BR"/>
        </w:rPr>
      </w:pPr>
      <w:r w:rsidRPr="0045775B">
        <w:rPr>
          <w:rFonts w:ascii="Times New Roman" w:eastAsia="Times New Roman" w:hAnsi="Times New Roman" w:cs="Times New Roman"/>
          <w:sz w:val="24"/>
          <w:szCs w:val="20"/>
          <w:lang w:eastAsia="pt-BR"/>
        </w:rPr>
        <w:t xml:space="preserve">§ 1º-A </w:t>
      </w:r>
      <w:hyperlink r:id="rId10" w:history="1">
        <w:r w:rsidRPr="0045775B">
          <w:rPr>
            <w:rFonts w:ascii="Times New Roman" w:eastAsia="Times New Roman" w:hAnsi="Times New Roman" w:cs="Times New Roman"/>
            <w:i/>
            <w:color w:val="0000FF"/>
            <w:sz w:val="24"/>
            <w:szCs w:val="20"/>
            <w:u w:val="single"/>
            <w:lang w:eastAsia="pt-BR"/>
          </w:rPr>
          <w:t>(Parágrafo acrescido pela Lei nº 11.118, de 19/5/2005</w:t>
        </w:r>
      </w:hyperlink>
      <w:r w:rsidRPr="0045775B">
        <w:rPr>
          <w:rFonts w:ascii="Times New Roman" w:eastAsia="Times New Roman" w:hAnsi="Times New Roman" w:cs="Times New Roman"/>
          <w:sz w:val="24"/>
          <w:szCs w:val="20"/>
          <w:lang w:eastAsia="pt-BR"/>
        </w:rPr>
        <w:t xml:space="preserve"> e </w:t>
      </w:r>
      <w:hyperlink r:id="rId11" w:history="1">
        <w:r w:rsidRPr="0045775B">
          <w:rPr>
            <w:rFonts w:ascii="Times New Roman" w:eastAsia="Times New Roman" w:hAnsi="Times New Roman" w:cs="Times New Roman"/>
            <w:i/>
            <w:color w:val="0000FF"/>
            <w:sz w:val="24"/>
            <w:szCs w:val="20"/>
            <w:u w:val="single"/>
            <w:lang w:eastAsia="pt-BR"/>
          </w:rPr>
          <w:t>revogado pela Lei nº 11.706, de 19/6/2008)</w:t>
        </w:r>
      </w:hyperlink>
    </w:p>
    <w:p w:rsidR="0045775B" w:rsidRPr="0045775B" w:rsidRDefault="0045775B" w:rsidP="0045775B">
      <w:pPr>
        <w:ind w:firstLine="1134"/>
        <w:rPr>
          <w:rFonts w:ascii="Times New Roman" w:eastAsia="Times New Roman" w:hAnsi="Times New Roman" w:cs="Times New Roman"/>
          <w:sz w:val="24"/>
          <w:szCs w:val="20"/>
          <w:lang w:eastAsia="pt-BR"/>
        </w:rPr>
      </w:pPr>
      <w:r w:rsidRPr="0045775B">
        <w:rPr>
          <w:rFonts w:ascii="Times New Roman" w:eastAsia="Times New Roman" w:hAnsi="Times New Roman" w:cs="Times New Roman"/>
          <w:sz w:val="24"/>
          <w:szCs w:val="20"/>
          <w:lang w:eastAsia="pt-BR"/>
        </w:rPr>
        <w:t xml:space="preserve">§ 2º A autorização para o porte de arma de fogo aos integrantes das instituições descritas nos incisos V, VI, VII e X do </w:t>
      </w:r>
      <w:r w:rsidRPr="0045775B">
        <w:rPr>
          <w:rFonts w:ascii="Times New Roman" w:eastAsia="Times New Roman" w:hAnsi="Times New Roman" w:cs="Times New Roman"/>
          <w:i/>
          <w:sz w:val="24"/>
          <w:szCs w:val="20"/>
          <w:lang w:eastAsia="pt-BR"/>
        </w:rPr>
        <w:t>caput</w:t>
      </w:r>
      <w:r w:rsidRPr="0045775B">
        <w:rPr>
          <w:rFonts w:ascii="Times New Roman" w:eastAsia="Times New Roman" w:hAnsi="Times New Roman" w:cs="Times New Roman"/>
          <w:sz w:val="24"/>
          <w:szCs w:val="20"/>
          <w:lang w:eastAsia="pt-BR"/>
        </w:rPr>
        <w:t xml:space="preserve"> deste artigo está condicionada à comprovação do requisito a que se refere o inciso III do </w:t>
      </w:r>
      <w:r w:rsidRPr="0045775B">
        <w:rPr>
          <w:rFonts w:ascii="Times New Roman" w:eastAsia="Times New Roman" w:hAnsi="Times New Roman" w:cs="Times New Roman"/>
          <w:i/>
          <w:sz w:val="24"/>
          <w:szCs w:val="20"/>
          <w:lang w:eastAsia="pt-BR"/>
        </w:rPr>
        <w:t>caput</w:t>
      </w:r>
      <w:r w:rsidRPr="0045775B">
        <w:rPr>
          <w:rFonts w:ascii="Times New Roman" w:eastAsia="Times New Roman" w:hAnsi="Times New Roman" w:cs="Times New Roman"/>
          <w:sz w:val="24"/>
          <w:szCs w:val="20"/>
          <w:lang w:eastAsia="pt-BR"/>
        </w:rPr>
        <w:t xml:space="preserve"> do art. 4º desta Lei nas condições estabelecidas no regulamento desta Lei. </w:t>
      </w:r>
      <w:hyperlink r:id="rId12" w:history="1">
        <w:r w:rsidRPr="0045775B">
          <w:rPr>
            <w:rFonts w:ascii="Times New Roman" w:eastAsia="Times New Roman" w:hAnsi="Times New Roman" w:cs="Times New Roman"/>
            <w:i/>
            <w:color w:val="0000FF"/>
            <w:sz w:val="24"/>
            <w:szCs w:val="20"/>
            <w:u w:val="single"/>
            <w:lang w:eastAsia="pt-BR"/>
          </w:rPr>
          <w:t>(Parágrafo com redação dada pela Lei nº 11.706, de 19/6/2008)</w:t>
        </w:r>
      </w:hyperlink>
    </w:p>
    <w:p w:rsidR="0045775B" w:rsidRPr="0045775B" w:rsidRDefault="0045775B" w:rsidP="0045775B">
      <w:pPr>
        <w:ind w:firstLine="1134"/>
        <w:rPr>
          <w:rFonts w:ascii="Times New Roman" w:eastAsia="Times New Roman" w:hAnsi="Times New Roman" w:cs="Times New Roman"/>
          <w:i/>
          <w:color w:val="0000FF"/>
          <w:sz w:val="24"/>
          <w:szCs w:val="20"/>
          <w:u w:val="single"/>
          <w:lang w:eastAsia="pt-BR"/>
        </w:rPr>
      </w:pPr>
      <w:r w:rsidRPr="0045775B">
        <w:rPr>
          <w:rFonts w:ascii="Times New Roman" w:eastAsia="Times New Roman" w:hAnsi="Times New Roman" w:cs="Times New Roman"/>
          <w:sz w:val="24"/>
          <w:szCs w:val="20"/>
          <w:lang w:eastAsia="pt-BR"/>
        </w:rPr>
        <w:t xml:space="preserve">§ 3º A autorização para o porte de arma de fogo das guardas municipais está condicionada à formação funcional de seus integrantes em estabelecimentos de ensino de atividade policial, à existência de mecanismos de fiscalização e de controle interno, nas condições estabelecidas no regulamento desta Lei, observada a supervisão do Ministério da Justiça. </w:t>
      </w:r>
      <w:r w:rsidRPr="0045775B">
        <w:rPr>
          <w:rFonts w:ascii="Times New Roman" w:eastAsia="Times New Roman" w:hAnsi="Times New Roman" w:cs="Times New Roman"/>
          <w:i/>
          <w:sz w:val="24"/>
          <w:szCs w:val="20"/>
          <w:lang w:eastAsia="pt-BR"/>
        </w:rPr>
        <w:fldChar w:fldCharType="begin"/>
      </w:r>
      <w:r w:rsidRPr="0045775B">
        <w:rPr>
          <w:rFonts w:ascii="Times New Roman" w:eastAsia="Times New Roman" w:hAnsi="Times New Roman" w:cs="Times New Roman"/>
          <w:i/>
          <w:sz w:val="24"/>
          <w:szCs w:val="20"/>
          <w:lang w:eastAsia="pt-BR"/>
        </w:rPr>
        <w:instrText xml:space="preserve"> HYPERLINK "http://www2.camara.gov.br/internet/legislacao/legin.html/textos/visualizarTexto.html?ideNorma=532663&amp;seqTexto=14985&amp;PalavrasDestaque=" </w:instrText>
      </w:r>
      <w:r w:rsidRPr="0045775B">
        <w:rPr>
          <w:rFonts w:ascii="Times New Roman" w:eastAsia="Times New Roman" w:hAnsi="Times New Roman" w:cs="Times New Roman"/>
          <w:i/>
          <w:sz w:val="24"/>
          <w:szCs w:val="20"/>
          <w:lang w:eastAsia="pt-BR"/>
        </w:rPr>
        <w:fldChar w:fldCharType="separate"/>
      </w:r>
      <w:r w:rsidRPr="0045775B">
        <w:rPr>
          <w:rFonts w:ascii="Times New Roman" w:eastAsia="Times New Roman" w:hAnsi="Times New Roman" w:cs="Times New Roman"/>
          <w:i/>
          <w:color w:val="0000FF"/>
          <w:sz w:val="24"/>
          <w:szCs w:val="20"/>
          <w:u w:val="single"/>
          <w:lang w:eastAsia="pt-BR"/>
        </w:rPr>
        <w:t>(Parágrafo com redação dada pela Lei nº 10.884, de 17/6/2004)</w:t>
      </w:r>
    </w:p>
    <w:p w:rsidR="0045775B" w:rsidRPr="0045775B" w:rsidRDefault="0045775B" w:rsidP="0045775B">
      <w:pPr>
        <w:ind w:firstLine="1134"/>
        <w:rPr>
          <w:rFonts w:ascii="Times New Roman" w:eastAsia="Times New Roman" w:hAnsi="Times New Roman" w:cs="Times New Roman"/>
          <w:sz w:val="24"/>
          <w:szCs w:val="20"/>
          <w:lang w:eastAsia="pt-BR"/>
        </w:rPr>
      </w:pPr>
      <w:r w:rsidRPr="0045775B">
        <w:rPr>
          <w:rFonts w:ascii="Times New Roman" w:eastAsia="Times New Roman" w:hAnsi="Times New Roman" w:cs="Times New Roman"/>
          <w:i/>
          <w:sz w:val="24"/>
          <w:szCs w:val="20"/>
          <w:lang w:eastAsia="pt-BR"/>
        </w:rPr>
        <w:fldChar w:fldCharType="end"/>
      </w:r>
      <w:r w:rsidRPr="0045775B">
        <w:rPr>
          <w:rFonts w:ascii="Times New Roman" w:eastAsia="Times New Roman" w:hAnsi="Times New Roman" w:cs="Times New Roman"/>
          <w:sz w:val="24"/>
          <w:szCs w:val="20"/>
          <w:lang w:eastAsia="pt-BR"/>
        </w:rPr>
        <w:t xml:space="preserve">§ 4º Os integrantes das Forças Armadas, das polícias federais e estaduais e do Distrito Federal, bem como os militares dos Estados e do Distrito Federal, ao exercerem o </w:t>
      </w:r>
      <w:r w:rsidRPr="0045775B">
        <w:rPr>
          <w:rFonts w:ascii="Times New Roman" w:eastAsia="Times New Roman" w:hAnsi="Times New Roman" w:cs="Times New Roman"/>
          <w:sz w:val="24"/>
          <w:szCs w:val="20"/>
          <w:lang w:eastAsia="pt-BR"/>
        </w:rPr>
        <w:lastRenderedPageBreak/>
        <w:t xml:space="preserve">direito descrito no art. 4º, ficam dispensados do cumprimento do disposto nos incisos I, II e III do mesmo artigo, na forma do regulamento desta Lei. </w:t>
      </w:r>
    </w:p>
    <w:p w:rsidR="0045775B" w:rsidRPr="0045775B" w:rsidRDefault="0045775B" w:rsidP="0045775B">
      <w:pPr>
        <w:ind w:firstLine="1134"/>
        <w:rPr>
          <w:rFonts w:ascii="Times New Roman" w:eastAsia="Times New Roman" w:hAnsi="Times New Roman" w:cs="Times New Roman"/>
          <w:sz w:val="24"/>
          <w:szCs w:val="20"/>
          <w:lang w:eastAsia="pt-BR"/>
        </w:rPr>
      </w:pPr>
      <w:r w:rsidRPr="0045775B">
        <w:rPr>
          <w:rFonts w:ascii="Times New Roman" w:eastAsia="Times New Roman" w:hAnsi="Times New Roman" w:cs="Times New Roman"/>
          <w:sz w:val="24"/>
          <w:szCs w:val="20"/>
          <w:lang w:eastAsia="pt-BR"/>
        </w:rPr>
        <w:t xml:space="preserve">§ 5º Aos residentes em áreas rurais, maiores de 25 (vinte e cinco) anos que comprovem depender do emprego de arma de fogo para prover sua subsistência alimentar familiar será concedido pela Polícia Federal o porte de arma de fogo, na categoria caçador para subsistência, de uma arma de uso permitido, de tiro simples, com 1 (um) ou 2 (dois) canos, de alma lisa e de calibre igual ou inferior a 16 (dezesseis), desde que o interessado comprove a efetiva necessidade em requerimento ao qual deverão ser anexados os seguintes documentos: </w:t>
      </w:r>
    </w:p>
    <w:p w:rsidR="0045775B" w:rsidRPr="0045775B" w:rsidRDefault="0045775B" w:rsidP="0045775B">
      <w:pPr>
        <w:ind w:firstLine="1134"/>
        <w:rPr>
          <w:rFonts w:ascii="Times New Roman" w:eastAsia="Times New Roman" w:hAnsi="Times New Roman" w:cs="Times New Roman"/>
          <w:sz w:val="24"/>
          <w:szCs w:val="20"/>
          <w:lang w:eastAsia="pt-BR"/>
        </w:rPr>
      </w:pPr>
      <w:r w:rsidRPr="0045775B">
        <w:rPr>
          <w:rFonts w:ascii="Times New Roman" w:eastAsia="Times New Roman" w:hAnsi="Times New Roman" w:cs="Times New Roman"/>
          <w:sz w:val="24"/>
          <w:szCs w:val="20"/>
          <w:lang w:eastAsia="pt-BR"/>
        </w:rPr>
        <w:t xml:space="preserve">I - documento de identificação pessoal; </w:t>
      </w:r>
    </w:p>
    <w:p w:rsidR="0045775B" w:rsidRPr="0045775B" w:rsidRDefault="0045775B" w:rsidP="0045775B">
      <w:pPr>
        <w:ind w:firstLine="1134"/>
        <w:rPr>
          <w:rFonts w:ascii="Times New Roman" w:eastAsia="Times New Roman" w:hAnsi="Times New Roman" w:cs="Times New Roman"/>
          <w:sz w:val="24"/>
          <w:szCs w:val="20"/>
          <w:lang w:eastAsia="pt-BR"/>
        </w:rPr>
      </w:pPr>
      <w:r w:rsidRPr="0045775B">
        <w:rPr>
          <w:rFonts w:ascii="Times New Roman" w:eastAsia="Times New Roman" w:hAnsi="Times New Roman" w:cs="Times New Roman"/>
          <w:sz w:val="24"/>
          <w:szCs w:val="20"/>
          <w:lang w:eastAsia="pt-BR"/>
        </w:rPr>
        <w:t xml:space="preserve">II - comprovante de residência em área rural; e </w:t>
      </w:r>
    </w:p>
    <w:p w:rsidR="0045775B" w:rsidRPr="0045775B" w:rsidRDefault="0045775B" w:rsidP="0045775B">
      <w:pPr>
        <w:ind w:firstLine="1134"/>
        <w:rPr>
          <w:rFonts w:ascii="Times New Roman" w:eastAsia="Times New Roman" w:hAnsi="Times New Roman" w:cs="Times New Roman"/>
          <w:sz w:val="24"/>
          <w:szCs w:val="20"/>
          <w:lang w:eastAsia="pt-BR"/>
        </w:rPr>
      </w:pPr>
      <w:r w:rsidRPr="0045775B">
        <w:rPr>
          <w:rFonts w:ascii="Times New Roman" w:eastAsia="Times New Roman" w:hAnsi="Times New Roman" w:cs="Times New Roman"/>
          <w:sz w:val="24"/>
          <w:szCs w:val="20"/>
          <w:lang w:eastAsia="pt-BR"/>
        </w:rPr>
        <w:t xml:space="preserve">III - atestado de bons antecedentes. </w:t>
      </w:r>
      <w:hyperlink r:id="rId13" w:history="1">
        <w:r w:rsidRPr="0045775B">
          <w:rPr>
            <w:rFonts w:ascii="Times New Roman" w:eastAsia="Times New Roman" w:hAnsi="Times New Roman" w:cs="Times New Roman"/>
            <w:i/>
            <w:color w:val="0000FF"/>
            <w:sz w:val="24"/>
            <w:szCs w:val="20"/>
            <w:u w:val="single"/>
            <w:lang w:eastAsia="pt-BR"/>
          </w:rPr>
          <w:t>(Parágrafo com redação dada pela Lei nº 11.706, de 19/6/2008)</w:t>
        </w:r>
      </w:hyperlink>
    </w:p>
    <w:p w:rsidR="0045775B" w:rsidRPr="0045775B" w:rsidRDefault="0045775B" w:rsidP="0045775B">
      <w:pPr>
        <w:ind w:firstLine="1134"/>
        <w:rPr>
          <w:rFonts w:ascii="Times New Roman" w:eastAsia="Times New Roman" w:hAnsi="Times New Roman" w:cs="Times New Roman"/>
          <w:sz w:val="24"/>
          <w:szCs w:val="20"/>
          <w:lang w:eastAsia="pt-BR"/>
        </w:rPr>
      </w:pPr>
      <w:r w:rsidRPr="0045775B">
        <w:rPr>
          <w:rFonts w:ascii="Times New Roman" w:eastAsia="Times New Roman" w:hAnsi="Times New Roman" w:cs="Times New Roman"/>
          <w:sz w:val="24"/>
          <w:szCs w:val="20"/>
          <w:lang w:eastAsia="pt-BR"/>
        </w:rPr>
        <w:t xml:space="preserve">§ 6º O caçador para subsistência que der outro uso à sua arma de fogo, independentemente de outras tipificações penais, responderá, conforme o caso, por porte ilegal ou por disparo de arma de fogo de uso permitido. </w:t>
      </w:r>
      <w:hyperlink r:id="rId14" w:history="1">
        <w:r w:rsidRPr="0045775B">
          <w:rPr>
            <w:rFonts w:ascii="Times New Roman" w:eastAsia="Times New Roman" w:hAnsi="Times New Roman" w:cs="Times New Roman"/>
            <w:i/>
            <w:color w:val="0000FF"/>
            <w:sz w:val="24"/>
            <w:szCs w:val="20"/>
            <w:u w:val="single"/>
            <w:lang w:eastAsia="pt-BR"/>
          </w:rPr>
          <w:t>(Parágrafo acrescido pela Lei nº 10.867, de 12/5/2004</w:t>
        </w:r>
      </w:hyperlink>
      <w:r w:rsidRPr="0045775B">
        <w:rPr>
          <w:rFonts w:ascii="Times New Roman" w:eastAsia="Times New Roman" w:hAnsi="Times New Roman" w:cs="Times New Roman"/>
          <w:i/>
          <w:sz w:val="24"/>
          <w:szCs w:val="20"/>
          <w:lang w:eastAsia="pt-BR"/>
        </w:rPr>
        <w:t xml:space="preserve"> e </w:t>
      </w:r>
      <w:hyperlink r:id="rId15" w:history="1">
        <w:r w:rsidRPr="0045775B">
          <w:rPr>
            <w:rFonts w:ascii="Times New Roman" w:eastAsia="Times New Roman" w:hAnsi="Times New Roman" w:cs="Times New Roman"/>
            <w:i/>
            <w:color w:val="0000FF"/>
            <w:sz w:val="24"/>
            <w:szCs w:val="20"/>
            <w:u w:val="single"/>
            <w:lang w:eastAsia="pt-BR"/>
          </w:rPr>
          <w:t>com nova redação dada pela Lei nº 11.706, de 19/6/2008)</w:t>
        </w:r>
      </w:hyperlink>
    </w:p>
    <w:p w:rsidR="0045775B" w:rsidRPr="0045775B" w:rsidRDefault="0045775B" w:rsidP="0045775B">
      <w:pPr>
        <w:ind w:firstLine="1134"/>
        <w:rPr>
          <w:rFonts w:ascii="Times New Roman" w:eastAsia="Times New Roman" w:hAnsi="Times New Roman" w:cs="Times New Roman"/>
          <w:sz w:val="24"/>
          <w:szCs w:val="20"/>
          <w:lang w:eastAsia="pt-BR"/>
        </w:rPr>
      </w:pPr>
      <w:r w:rsidRPr="0045775B">
        <w:rPr>
          <w:rFonts w:ascii="Times New Roman" w:eastAsia="Times New Roman" w:hAnsi="Times New Roman" w:cs="Times New Roman"/>
          <w:sz w:val="24"/>
          <w:szCs w:val="20"/>
          <w:lang w:eastAsia="pt-BR"/>
        </w:rPr>
        <w:t xml:space="preserve">§ 7º Aos integrantes das guardas municipais dos Municípios que integram regiões metropolitanas será autorizado porte de arma de fogo, quando em serviço. </w:t>
      </w:r>
      <w:hyperlink r:id="rId16" w:history="1">
        <w:r w:rsidRPr="0045775B">
          <w:rPr>
            <w:rFonts w:ascii="Times New Roman" w:eastAsia="Times New Roman" w:hAnsi="Times New Roman" w:cs="Times New Roman"/>
            <w:i/>
            <w:color w:val="0000FF"/>
            <w:sz w:val="24"/>
            <w:szCs w:val="20"/>
            <w:u w:val="single"/>
            <w:lang w:eastAsia="pt-BR"/>
          </w:rPr>
          <w:t>(Parágrafo acrescido pela Lei nº 11.706, de 19/6/2008)</w:t>
        </w:r>
      </w:hyperlink>
    </w:p>
    <w:p w:rsidR="0045775B" w:rsidRPr="0045775B" w:rsidRDefault="0045775B" w:rsidP="0045775B">
      <w:pPr>
        <w:ind w:firstLine="1134"/>
        <w:rPr>
          <w:rFonts w:ascii="Times New Roman" w:eastAsia="Times New Roman" w:hAnsi="Times New Roman" w:cs="Times New Roman"/>
          <w:sz w:val="24"/>
          <w:szCs w:val="20"/>
          <w:lang w:eastAsia="pt-BR"/>
        </w:rPr>
      </w:pPr>
    </w:p>
    <w:p w:rsidR="0045775B" w:rsidRPr="0045775B" w:rsidRDefault="0045775B" w:rsidP="0045775B">
      <w:pPr>
        <w:ind w:firstLine="1134"/>
        <w:rPr>
          <w:rFonts w:ascii="Times New Roman" w:eastAsia="Times New Roman" w:hAnsi="Times New Roman" w:cs="Times New Roman"/>
          <w:sz w:val="24"/>
          <w:szCs w:val="20"/>
          <w:lang w:eastAsia="pt-BR"/>
        </w:rPr>
      </w:pPr>
      <w:r w:rsidRPr="0045775B">
        <w:rPr>
          <w:rFonts w:ascii="Times New Roman" w:eastAsia="Times New Roman" w:hAnsi="Times New Roman" w:cs="Times New Roman"/>
          <w:sz w:val="24"/>
          <w:szCs w:val="20"/>
          <w:lang w:eastAsia="pt-BR"/>
        </w:rPr>
        <w:t xml:space="preserve">Art. 7º As armas de fogo utilizadas pelos empregados das empresas de segurança privada e de transporte de valores, constituídas na forma da lei, serão de propriedade, responsabilidade e guarda das respectivas empresas, somente podendo ser utilizadas quando em serviço, devendo essas observar as condições de uso e de armazenagem estabelecidas pelo órgão competente, sendo o certificado de registro e a autorização de porte expedidos pela Polícia Federal em nome da empresa. </w:t>
      </w:r>
    </w:p>
    <w:p w:rsidR="0045775B" w:rsidRPr="0045775B" w:rsidRDefault="0045775B" w:rsidP="0045775B">
      <w:pPr>
        <w:ind w:firstLine="1134"/>
        <w:rPr>
          <w:rFonts w:ascii="Times New Roman" w:eastAsia="Times New Roman" w:hAnsi="Times New Roman" w:cs="Times New Roman"/>
          <w:sz w:val="24"/>
          <w:szCs w:val="20"/>
          <w:lang w:eastAsia="pt-BR"/>
        </w:rPr>
      </w:pPr>
      <w:r w:rsidRPr="0045775B">
        <w:rPr>
          <w:rFonts w:ascii="Times New Roman" w:eastAsia="Times New Roman" w:hAnsi="Times New Roman" w:cs="Times New Roman"/>
          <w:sz w:val="24"/>
          <w:szCs w:val="20"/>
          <w:lang w:eastAsia="pt-BR"/>
        </w:rPr>
        <w:t xml:space="preserve">§ 1º O proprietário ou diretor responsável de empresa de segurança privada e de transporte de valores responderá pelo crime previsto no parágrafo único do art. 13 desta Lei, sem prejuízo das demais sanções administrativas e civis, se deixar de registrar ocorrência policial e de comunicar à Polícia Federal perda, furto, roubo ou outras formas de extravio de armas de fogo, acessórios e munições que estejam sob sua guarda, nas primeiras 24 (vinte e quatro) horas depois de ocorrido o fato. </w:t>
      </w:r>
    </w:p>
    <w:p w:rsidR="0045775B" w:rsidRPr="0045775B" w:rsidRDefault="0045775B" w:rsidP="0045775B">
      <w:pPr>
        <w:ind w:firstLine="1134"/>
        <w:rPr>
          <w:rFonts w:ascii="Times New Roman" w:eastAsia="Times New Roman" w:hAnsi="Times New Roman" w:cs="Times New Roman"/>
          <w:sz w:val="24"/>
          <w:szCs w:val="20"/>
          <w:lang w:eastAsia="pt-BR"/>
        </w:rPr>
      </w:pPr>
      <w:r w:rsidRPr="0045775B">
        <w:rPr>
          <w:rFonts w:ascii="Times New Roman" w:eastAsia="Times New Roman" w:hAnsi="Times New Roman" w:cs="Times New Roman"/>
          <w:sz w:val="24"/>
          <w:szCs w:val="20"/>
          <w:lang w:eastAsia="pt-BR"/>
        </w:rPr>
        <w:t xml:space="preserve">§ 2º A empresa de segurança e de transporte de valores deverá apresentar documentação comprobatória do preenchimento dos requisitos constantes do art. 4º desta Lei quanto aos empregados que portarão arma de fogo. </w:t>
      </w:r>
    </w:p>
    <w:p w:rsidR="0045775B" w:rsidRPr="0045775B" w:rsidRDefault="0045775B" w:rsidP="0045775B">
      <w:pPr>
        <w:ind w:firstLine="1134"/>
        <w:rPr>
          <w:rFonts w:ascii="Times New Roman" w:eastAsia="Times New Roman" w:hAnsi="Times New Roman" w:cs="Times New Roman"/>
          <w:sz w:val="24"/>
          <w:szCs w:val="20"/>
          <w:lang w:eastAsia="pt-BR"/>
        </w:rPr>
      </w:pPr>
      <w:r w:rsidRPr="0045775B">
        <w:rPr>
          <w:rFonts w:ascii="Times New Roman" w:eastAsia="Times New Roman" w:hAnsi="Times New Roman" w:cs="Times New Roman"/>
          <w:sz w:val="24"/>
          <w:szCs w:val="20"/>
          <w:lang w:eastAsia="pt-BR"/>
        </w:rPr>
        <w:t>§ 3º A listagem dos empregados das empresas referidas neste artigo deverá ser atualizada semestralmente junto ao Sinarm.</w:t>
      </w:r>
    </w:p>
    <w:p w:rsidR="0045775B" w:rsidRPr="0045775B" w:rsidRDefault="0045775B" w:rsidP="0045775B">
      <w:pPr>
        <w:rPr>
          <w:rFonts w:ascii="Times New Roman" w:eastAsia="Times New Roman" w:hAnsi="Times New Roman" w:cs="Times New Roman"/>
          <w:sz w:val="24"/>
          <w:szCs w:val="20"/>
          <w:lang w:eastAsia="pt-BR"/>
        </w:rPr>
      </w:pPr>
      <w:r w:rsidRPr="0045775B">
        <w:rPr>
          <w:rFonts w:ascii="Times New Roman" w:eastAsia="Times New Roman" w:hAnsi="Times New Roman" w:cs="Times New Roman"/>
          <w:sz w:val="24"/>
          <w:szCs w:val="20"/>
          <w:lang w:eastAsia="pt-BR"/>
        </w:rPr>
        <w:t>....................................................................................................................................................... .......................................................................................................................................................</w:t>
      </w:r>
    </w:p>
    <w:p w:rsidR="0045775B" w:rsidRPr="0045775B" w:rsidRDefault="0045775B" w:rsidP="0045775B">
      <w:pPr>
        <w:rPr>
          <w:rFonts w:ascii="Times New Roman" w:eastAsia="Times New Roman" w:hAnsi="Times New Roman" w:cs="Times New Roman"/>
          <w:sz w:val="24"/>
          <w:szCs w:val="20"/>
          <w:lang w:eastAsia="pt-BR"/>
        </w:rPr>
      </w:pPr>
    </w:p>
    <w:p w:rsidR="0045775B" w:rsidRPr="0045775B" w:rsidRDefault="0045775B" w:rsidP="0045775B">
      <w:pPr>
        <w:tabs>
          <w:tab w:val="left" w:pos="8647"/>
          <w:tab w:val="left" w:pos="12191"/>
        </w:tabs>
        <w:ind w:right="6"/>
        <w:jc w:val="center"/>
        <w:rPr>
          <w:rFonts w:eastAsia="Times New Roman"/>
          <w:sz w:val="24"/>
          <w:szCs w:val="24"/>
          <w:lang w:eastAsia="pt-BR"/>
        </w:rPr>
      </w:pPr>
      <w:r w:rsidRPr="0045775B">
        <w:rPr>
          <w:rFonts w:eastAsia="Times New Roman"/>
          <w:b/>
          <w:sz w:val="24"/>
          <w:szCs w:val="24"/>
          <w:lang w:eastAsia="pt-BR"/>
        </w:rPr>
        <w:t>COMISSÃO DE SEGURANÇA PÚBLICA E COMBATE AO CRIME ORGANIZADO</w:t>
      </w:r>
    </w:p>
    <w:p w:rsidR="0045775B" w:rsidRPr="0045775B" w:rsidRDefault="0045775B" w:rsidP="0045775B">
      <w:pPr>
        <w:tabs>
          <w:tab w:val="left" w:pos="8647"/>
          <w:tab w:val="left" w:pos="12191"/>
        </w:tabs>
        <w:ind w:right="6"/>
        <w:rPr>
          <w:rFonts w:eastAsia="Times New Roman"/>
          <w:sz w:val="24"/>
          <w:szCs w:val="24"/>
          <w:lang w:eastAsia="pt-BR"/>
        </w:rPr>
      </w:pPr>
    </w:p>
    <w:p w:rsidR="0045775B" w:rsidRPr="0045775B" w:rsidRDefault="0045775B" w:rsidP="0045775B">
      <w:pPr>
        <w:keepNext/>
        <w:spacing w:after="200" w:line="360" w:lineRule="exact"/>
        <w:jc w:val="left"/>
        <w:outlineLvl w:val="2"/>
        <w:rPr>
          <w:rFonts w:eastAsia="Times New Roman" w:cs="Times New Roman"/>
          <w:b/>
          <w:sz w:val="24"/>
          <w:szCs w:val="24"/>
          <w:lang w:eastAsia="pt-BR"/>
        </w:rPr>
      </w:pPr>
      <w:r w:rsidRPr="0045775B">
        <w:rPr>
          <w:rFonts w:eastAsia="Times New Roman" w:cs="Times New Roman"/>
          <w:b/>
          <w:sz w:val="24"/>
          <w:szCs w:val="24"/>
          <w:lang w:eastAsia="pt-BR"/>
        </w:rPr>
        <w:t xml:space="preserve">I – </w:t>
      </w:r>
      <w:r w:rsidRPr="0045775B">
        <w:rPr>
          <w:rFonts w:eastAsia="Times New Roman" w:cs="Times New Roman"/>
          <w:b/>
          <w:snapToGrid w:val="0"/>
          <w:sz w:val="24"/>
          <w:szCs w:val="24"/>
          <w:lang w:eastAsia="pt-BR"/>
        </w:rPr>
        <w:t>RELATÓRIO</w:t>
      </w:r>
    </w:p>
    <w:p w:rsidR="0045775B" w:rsidRPr="0045775B" w:rsidRDefault="0045775B" w:rsidP="0045775B">
      <w:pPr>
        <w:spacing w:after="200" w:line="360" w:lineRule="auto"/>
        <w:ind w:firstLine="2302"/>
        <w:rPr>
          <w:rFonts w:eastAsia="Times New Roman" w:cs="Times New Roman"/>
          <w:snapToGrid w:val="0"/>
          <w:color w:val="000000"/>
          <w:sz w:val="24"/>
          <w:szCs w:val="20"/>
          <w:lang w:eastAsia="pt-BR"/>
        </w:rPr>
      </w:pPr>
      <w:r w:rsidRPr="0045775B">
        <w:rPr>
          <w:rFonts w:eastAsia="Times New Roman" w:cs="Times New Roman"/>
          <w:snapToGrid w:val="0"/>
          <w:color w:val="000000"/>
          <w:sz w:val="24"/>
          <w:szCs w:val="20"/>
          <w:lang w:eastAsia="pt-BR"/>
        </w:rPr>
        <w:t xml:space="preserve">Versa o presente projeto de lei sobre Alteração da Lei n. 10.826, de 22 de dezembro de 2003 – Estatuto do Desarmamento, objetivando permitir o porte de arma aos colecionadores e atiradores.  </w:t>
      </w:r>
    </w:p>
    <w:p w:rsidR="0045775B" w:rsidRPr="0045775B" w:rsidRDefault="0045775B" w:rsidP="0045775B">
      <w:pPr>
        <w:spacing w:after="200" w:line="360" w:lineRule="auto"/>
        <w:ind w:firstLine="2302"/>
        <w:rPr>
          <w:rFonts w:eastAsia="Times New Roman" w:cs="Times New Roman"/>
          <w:snapToGrid w:val="0"/>
          <w:color w:val="000000"/>
          <w:sz w:val="24"/>
          <w:szCs w:val="20"/>
          <w:lang w:eastAsia="pt-BR"/>
        </w:rPr>
      </w:pPr>
      <w:r w:rsidRPr="0045775B">
        <w:rPr>
          <w:rFonts w:eastAsia="Times New Roman" w:cs="Times New Roman"/>
          <w:snapToGrid w:val="0"/>
          <w:color w:val="000000"/>
          <w:sz w:val="24"/>
          <w:szCs w:val="20"/>
          <w:lang w:eastAsia="pt-BR"/>
        </w:rPr>
        <w:lastRenderedPageBreak/>
        <w:t xml:space="preserve">Na justificativa o ilustre autor ressalta que o Estatuto do Desarmamento deixou no limbo legal os colecionadores e atiradores, considerando-os, merecedores do favor legal.  </w:t>
      </w:r>
    </w:p>
    <w:p w:rsidR="0045775B" w:rsidRPr="0045775B" w:rsidRDefault="0045775B" w:rsidP="0045775B">
      <w:pPr>
        <w:spacing w:after="200" w:line="360" w:lineRule="auto"/>
        <w:ind w:firstLine="2302"/>
        <w:rPr>
          <w:rFonts w:eastAsia="Times New Roman" w:cs="Times New Roman"/>
          <w:snapToGrid w:val="0"/>
          <w:color w:val="000000"/>
          <w:sz w:val="24"/>
          <w:szCs w:val="20"/>
          <w:lang w:eastAsia="pt-BR"/>
        </w:rPr>
      </w:pPr>
      <w:r w:rsidRPr="0045775B">
        <w:rPr>
          <w:rFonts w:eastAsia="Times New Roman" w:cs="Times New Roman"/>
          <w:snapToGrid w:val="0"/>
          <w:color w:val="000000"/>
          <w:sz w:val="24"/>
          <w:szCs w:val="20"/>
          <w:lang w:eastAsia="pt-BR"/>
        </w:rPr>
        <w:t xml:space="preserve">Apresentada em 16/3/2010, em 24/3/2010 a proposição foi distribuída às Comissões de Segurança Pública e Combate ao Crime Organizado (CSPCCO) e de Constituição e Justiça e de Cidadania (CCJC), sujeita a apreciação conclusiva, em regime de tramitação ordinária. </w:t>
      </w:r>
    </w:p>
    <w:p w:rsidR="0045775B" w:rsidRPr="0045775B" w:rsidRDefault="0045775B" w:rsidP="0045775B">
      <w:pPr>
        <w:spacing w:after="200" w:line="360" w:lineRule="auto"/>
        <w:ind w:firstLine="2302"/>
        <w:rPr>
          <w:rFonts w:eastAsia="Times New Roman" w:cs="Times New Roman"/>
          <w:snapToGrid w:val="0"/>
          <w:color w:val="000000"/>
          <w:sz w:val="24"/>
          <w:szCs w:val="20"/>
          <w:lang w:eastAsia="pt-BR"/>
        </w:rPr>
      </w:pPr>
      <w:r w:rsidRPr="0045775B">
        <w:rPr>
          <w:rFonts w:eastAsia="Times New Roman" w:cs="Times New Roman"/>
          <w:snapToGrid w:val="0"/>
          <w:color w:val="000000"/>
          <w:sz w:val="24"/>
          <w:szCs w:val="20"/>
          <w:lang w:eastAsia="pt-BR"/>
        </w:rPr>
        <w:t>Designado o relator não foi ofertado parecer, sendo a proposição arquivada por término de legislatura em 31/1/2011. Desarquivada em 15/2/2011, a relatora designada apresentou parecer pela rejeição em 27/9/2011, o qual não foi votado e, iniciada a presente Sessão Legislativa, cabe a esta Comissão ofertar novo parecer por nosso intermédio.</w:t>
      </w:r>
    </w:p>
    <w:p w:rsidR="0045775B" w:rsidRPr="0045775B" w:rsidRDefault="0045775B" w:rsidP="0045775B">
      <w:pPr>
        <w:spacing w:after="200" w:line="360" w:lineRule="auto"/>
        <w:ind w:firstLine="2302"/>
        <w:rPr>
          <w:rFonts w:eastAsia="Times New Roman" w:cs="Times New Roman"/>
          <w:snapToGrid w:val="0"/>
          <w:color w:val="000000"/>
          <w:sz w:val="24"/>
          <w:szCs w:val="20"/>
          <w:lang w:eastAsia="pt-BR"/>
        </w:rPr>
      </w:pPr>
      <w:r w:rsidRPr="0045775B">
        <w:rPr>
          <w:rFonts w:eastAsia="Times New Roman" w:cs="Times New Roman"/>
          <w:snapToGrid w:val="0"/>
          <w:color w:val="000000"/>
          <w:sz w:val="24"/>
          <w:szCs w:val="20"/>
          <w:lang w:eastAsia="pt-BR"/>
        </w:rPr>
        <w:t>Não houve apresentação de qualquer emenda.</w:t>
      </w:r>
    </w:p>
    <w:p w:rsidR="0045775B" w:rsidRPr="0045775B" w:rsidRDefault="0045775B" w:rsidP="0045775B">
      <w:pPr>
        <w:spacing w:after="200" w:line="360" w:lineRule="auto"/>
        <w:ind w:firstLine="2302"/>
        <w:rPr>
          <w:rFonts w:eastAsia="Times New Roman" w:cs="Times New Roman"/>
          <w:snapToGrid w:val="0"/>
          <w:color w:val="000000"/>
          <w:sz w:val="24"/>
          <w:szCs w:val="20"/>
          <w:lang w:eastAsia="pt-BR"/>
        </w:rPr>
      </w:pPr>
      <w:r w:rsidRPr="0045775B">
        <w:rPr>
          <w:rFonts w:eastAsia="Times New Roman" w:cs="Times New Roman"/>
          <w:snapToGrid w:val="0"/>
          <w:color w:val="000000"/>
          <w:sz w:val="24"/>
          <w:szCs w:val="20"/>
          <w:lang w:eastAsia="pt-BR"/>
        </w:rPr>
        <w:t>É o relatório.</w:t>
      </w:r>
    </w:p>
    <w:p w:rsidR="0045775B" w:rsidRPr="0045775B" w:rsidRDefault="0045775B" w:rsidP="0045775B">
      <w:pPr>
        <w:keepNext/>
        <w:spacing w:after="200" w:line="360" w:lineRule="exact"/>
        <w:jc w:val="left"/>
        <w:outlineLvl w:val="2"/>
        <w:rPr>
          <w:rFonts w:eastAsia="Times New Roman" w:cs="Times New Roman"/>
          <w:b/>
          <w:sz w:val="24"/>
          <w:szCs w:val="24"/>
          <w:lang w:eastAsia="pt-BR"/>
        </w:rPr>
      </w:pPr>
      <w:r w:rsidRPr="0045775B">
        <w:rPr>
          <w:rFonts w:eastAsia="Times New Roman" w:cs="Times New Roman"/>
          <w:b/>
          <w:sz w:val="24"/>
          <w:szCs w:val="24"/>
          <w:lang w:eastAsia="pt-BR"/>
        </w:rPr>
        <w:t>II – VOTO DO RELATOR</w:t>
      </w:r>
    </w:p>
    <w:p w:rsidR="0045775B" w:rsidRPr="0045775B" w:rsidRDefault="0045775B" w:rsidP="0045775B">
      <w:pPr>
        <w:spacing w:after="200" w:line="360" w:lineRule="exact"/>
        <w:ind w:firstLine="2302"/>
        <w:rPr>
          <w:rFonts w:eastAsia="Times New Roman" w:cs="Times New Roman"/>
          <w:snapToGrid w:val="0"/>
          <w:color w:val="000000"/>
          <w:sz w:val="24"/>
          <w:szCs w:val="20"/>
          <w:lang w:eastAsia="pt-BR"/>
        </w:rPr>
      </w:pPr>
      <w:r w:rsidRPr="0045775B">
        <w:rPr>
          <w:rFonts w:eastAsia="Times New Roman" w:cs="Times New Roman"/>
          <w:snapToGrid w:val="0"/>
          <w:color w:val="000000"/>
          <w:sz w:val="24"/>
          <w:szCs w:val="20"/>
          <w:lang w:eastAsia="pt-BR"/>
        </w:rPr>
        <w:t>A matéria em questão é pertinente por subordinar-se à competência desta Comissão, nos termos do art. 32, inciso XVI, alínea “c” do Regimento Interno da Câmara dos Deputados (RICD).</w:t>
      </w:r>
    </w:p>
    <w:p w:rsidR="0045775B" w:rsidRPr="0045775B" w:rsidRDefault="0045775B" w:rsidP="0045775B">
      <w:pPr>
        <w:spacing w:after="200" w:line="360" w:lineRule="auto"/>
        <w:ind w:firstLine="2302"/>
        <w:rPr>
          <w:rFonts w:eastAsia="Times New Roman" w:cs="Times New Roman"/>
          <w:snapToGrid w:val="0"/>
          <w:color w:val="000000"/>
          <w:sz w:val="24"/>
          <w:szCs w:val="20"/>
          <w:lang w:eastAsia="pt-BR"/>
        </w:rPr>
      </w:pPr>
      <w:r w:rsidRPr="0045775B">
        <w:rPr>
          <w:rFonts w:eastAsia="Times New Roman" w:cs="Times New Roman"/>
          <w:snapToGrid w:val="0"/>
          <w:color w:val="000000"/>
          <w:sz w:val="24"/>
          <w:szCs w:val="20"/>
          <w:lang w:eastAsia="pt-BR"/>
        </w:rPr>
        <w:t>Conforme se depreende da simples redação da proposição e da Justificativa do nobre autor, o objetivo da proposição é conceder autorização para porte de arma de fogo aos atiradores e colecionadores. Entretanto, não houve uma argumentação suficientemente convincente acerca da necessidade apontada.</w:t>
      </w:r>
    </w:p>
    <w:p w:rsidR="0045775B" w:rsidRPr="0045775B" w:rsidRDefault="0045775B" w:rsidP="0045775B">
      <w:pPr>
        <w:spacing w:after="200" w:line="360" w:lineRule="auto"/>
        <w:ind w:firstLine="2302"/>
        <w:rPr>
          <w:rFonts w:eastAsia="Times New Roman" w:cs="Times New Roman"/>
          <w:snapToGrid w:val="0"/>
          <w:color w:val="000000"/>
          <w:sz w:val="24"/>
          <w:szCs w:val="20"/>
          <w:lang w:eastAsia="pt-BR"/>
        </w:rPr>
      </w:pPr>
      <w:r w:rsidRPr="0045775B">
        <w:rPr>
          <w:rFonts w:eastAsia="Times New Roman" w:cs="Times New Roman"/>
          <w:snapToGrid w:val="0"/>
          <w:color w:val="000000"/>
          <w:sz w:val="24"/>
          <w:szCs w:val="20"/>
          <w:lang w:eastAsia="pt-BR"/>
        </w:rPr>
        <w:t xml:space="preserve">A respeito do porte de arma para os colecionadores e atiradores, cabe ressaltar, inicialmente, os artigos 9º e 24º da Lei nº 10.826, de 2003, abaixo transcritos: </w:t>
      </w:r>
    </w:p>
    <w:p w:rsidR="0045775B" w:rsidRPr="0045775B" w:rsidRDefault="0045775B" w:rsidP="0045775B">
      <w:pPr>
        <w:ind w:left="1412"/>
        <w:rPr>
          <w:rFonts w:eastAsia="Times New Roman" w:cs="Times New Roman"/>
          <w:sz w:val="22"/>
          <w:szCs w:val="20"/>
          <w:lang w:eastAsia="pt-BR"/>
        </w:rPr>
      </w:pPr>
      <w:r w:rsidRPr="0045775B">
        <w:rPr>
          <w:rFonts w:eastAsia="Times New Roman" w:cs="Times New Roman"/>
          <w:sz w:val="22"/>
          <w:szCs w:val="20"/>
          <w:lang w:eastAsia="pt-BR"/>
        </w:rPr>
        <w:t xml:space="preserve">“Art. 9º Compete ao Ministério da Justiça a autorização do porte de arma para responsáveis pela segurança de cidadãos estrangeiros em visita ou sediados no Brasil e, </w:t>
      </w:r>
      <w:r w:rsidRPr="0045775B">
        <w:rPr>
          <w:rFonts w:eastAsia="Times New Roman" w:cs="Times New Roman"/>
          <w:b/>
          <w:sz w:val="22"/>
          <w:szCs w:val="20"/>
          <w:u w:val="single"/>
          <w:lang w:eastAsia="pt-BR"/>
        </w:rPr>
        <w:t>ao Comando do Exército, nos termos do regulamento desta Lei, o registro e a concessão de porte de trânsito de arma de fogo para colecionadores, atiradores</w:t>
      </w:r>
      <w:r w:rsidRPr="0045775B">
        <w:rPr>
          <w:rFonts w:eastAsia="Times New Roman" w:cs="Times New Roman"/>
          <w:sz w:val="22"/>
          <w:szCs w:val="20"/>
          <w:lang w:eastAsia="pt-BR"/>
        </w:rPr>
        <w:t xml:space="preserve"> e caçadores e de representantes estrangeiros em competição internacional oficial de tiro realizada no território nacional.</w:t>
      </w:r>
    </w:p>
    <w:p w:rsidR="0045775B" w:rsidRPr="0045775B" w:rsidRDefault="0045775B" w:rsidP="0045775B">
      <w:pPr>
        <w:spacing w:after="240"/>
        <w:ind w:left="1412"/>
        <w:rPr>
          <w:rFonts w:eastAsia="Times New Roman" w:cs="Times New Roman"/>
          <w:sz w:val="22"/>
          <w:szCs w:val="20"/>
          <w:lang w:eastAsia="pt-BR"/>
        </w:rPr>
      </w:pPr>
      <w:r w:rsidRPr="0045775B">
        <w:rPr>
          <w:rFonts w:eastAsia="Times New Roman" w:cs="Times New Roman"/>
          <w:sz w:val="22"/>
          <w:szCs w:val="20"/>
          <w:lang w:eastAsia="pt-BR"/>
        </w:rPr>
        <w:t xml:space="preserve">Art. 24. Excetuadas as atribuições a que se refere o art. 2º desta Lei, </w:t>
      </w:r>
      <w:r w:rsidRPr="0045775B">
        <w:rPr>
          <w:rFonts w:eastAsia="Times New Roman" w:cs="Times New Roman"/>
          <w:b/>
          <w:sz w:val="22"/>
          <w:szCs w:val="20"/>
          <w:u w:val="single"/>
          <w:lang w:eastAsia="pt-BR"/>
        </w:rPr>
        <w:t>compete ao Comando do Exército autorizar e fiscalizar</w:t>
      </w:r>
      <w:r w:rsidRPr="0045775B">
        <w:rPr>
          <w:rFonts w:eastAsia="Times New Roman" w:cs="Times New Roman"/>
          <w:sz w:val="22"/>
          <w:szCs w:val="20"/>
          <w:lang w:eastAsia="pt-BR"/>
        </w:rPr>
        <w:t xml:space="preserve"> a produção, </w:t>
      </w:r>
      <w:r w:rsidRPr="0045775B">
        <w:rPr>
          <w:rFonts w:eastAsia="Times New Roman" w:cs="Times New Roman"/>
          <w:sz w:val="22"/>
          <w:szCs w:val="20"/>
          <w:lang w:eastAsia="pt-BR"/>
        </w:rPr>
        <w:lastRenderedPageBreak/>
        <w:t>exportação, importação, desembaraço alfandegário e o comércio de armas de fogo e demais produtos controlados, inclusive o registro e o porte de trânsito de arma de fogo de colecionadores, atiradores e caçadores“.</w:t>
      </w:r>
    </w:p>
    <w:p w:rsidR="0045775B" w:rsidRPr="0045775B" w:rsidRDefault="0045775B" w:rsidP="0045775B">
      <w:pPr>
        <w:spacing w:after="200" w:line="360" w:lineRule="auto"/>
        <w:ind w:firstLine="2302"/>
        <w:rPr>
          <w:rFonts w:eastAsia="Times New Roman" w:cs="Times New Roman"/>
          <w:snapToGrid w:val="0"/>
          <w:color w:val="000000"/>
          <w:sz w:val="24"/>
          <w:szCs w:val="20"/>
          <w:lang w:eastAsia="pt-BR"/>
        </w:rPr>
      </w:pPr>
      <w:r w:rsidRPr="0045775B">
        <w:rPr>
          <w:rFonts w:eastAsia="Times New Roman" w:cs="Times New Roman"/>
          <w:snapToGrid w:val="0"/>
          <w:color w:val="000000"/>
          <w:sz w:val="24"/>
          <w:szCs w:val="20"/>
          <w:lang w:eastAsia="pt-BR"/>
        </w:rPr>
        <w:t>No mesmo sentido, constou na Lei nº 9.437, de 1997 (revogada pela atual Lei nº 10.826, de 2003) a competência ao Comando do Exército para conceder porte de trânsito de arma de fogo aos colecionadores e atiradores. Por sua vez, o Art. 32 do Decreto nº 5.123, de 2004, que regulamenta a referida Lei, dispõe que o Comando do Exército expedirá o porte de trânsito das armas de fogo de colecionadores e atiradores.</w:t>
      </w:r>
    </w:p>
    <w:p w:rsidR="0045775B" w:rsidRPr="0045775B" w:rsidRDefault="0045775B" w:rsidP="0045775B">
      <w:pPr>
        <w:spacing w:after="200" w:line="360" w:lineRule="auto"/>
        <w:ind w:firstLine="2302"/>
        <w:rPr>
          <w:rFonts w:eastAsia="Times New Roman" w:cs="Times New Roman"/>
          <w:snapToGrid w:val="0"/>
          <w:color w:val="000000"/>
          <w:sz w:val="24"/>
          <w:szCs w:val="20"/>
          <w:lang w:eastAsia="pt-BR"/>
        </w:rPr>
      </w:pPr>
      <w:r w:rsidRPr="0045775B">
        <w:rPr>
          <w:rFonts w:eastAsia="Times New Roman" w:cs="Times New Roman"/>
          <w:snapToGrid w:val="0"/>
          <w:color w:val="000000"/>
          <w:sz w:val="24"/>
          <w:szCs w:val="20"/>
          <w:lang w:eastAsia="pt-BR"/>
        </w:rPr>
        <w:t>Desta forma, está previsto na Lei nº 10.826, de 2003 que aos colecionadores e atiradores é concedido o porte de arma de fogo, somente para fins de trânsito pelo Comando do Exército.</w:t>
      </w:r>
    </w:p>
    <w:p w:rsidR="0045775B" w:rsidRPr="0045775B" w:rsidRDefault="0045775B" w:rsidP="0045775B">
      <w:pPr>
        <w:spacing w:after="200" w:line="360" w:lineRule="auto"/>
        <w:ind w:firstLine="2302"/>
        <w:rPr>
          <w:rFonts w:eastAsia="Times New Roman" w:cs="Times New Roman"/>
          <w:snapToGrid w:val="0"/>
          <w:color w:val="000000"/>
          <w:sz w:val="24"/>
          <w:szCs w:val="20"/>
          <w:lang w:eastAsia="pt-BR"/>
        </w:rPr>
      </w:pPr>
      <w:r w:rsidRPr="0045775B">
        <w:rPr>
          <w:rFonts w:eastAsia="Times New Roman" w:cs="Times New Roman"/>
          <w:snapToGrid w:val="0"/>
          <w:color w:val="000000"/>
          <w:sz w:val="24"/>
          <w:szCs w:val="20"/>
          <w:lang w:eastAsia="pt-BR"/>
        </w:rPr>
        <w:t xml:space="preserve">Ademais, nada impede que atiradores e colecionadores possam obter porte de arma de fogo de uso permitido, cuja finalidade é a defesa pessoal perante a Polícia Federal, em consonância com o Art. 10 da Lei nº 10.826, de 2003 e Art. 22 do Decreto nº 5.123, de 2004, mormente se demonstrada a sua efetiva necessidade por exercício de atividade profissional de risco ou de ameaça à integridade física, como pode vir a ocorrer no caso dos atiradores e colecionadores. Na hipótese de aprovação do Projeto de Lei, haverá reflexo para o Exército, uma vez que deixará de exercer a competência para a concessão de porte de trânsito de arma de fogo para colecionadores e atiradores, conforme previsto no Art. 9º da Lei nº 10.826, de 2003, no entanto, serão mantidas as demais competências. </w:t>
      </w:r>
    </w:p>
    <w:p w:rsidR="0045775B" w:rsidRPr="0045775B" w:rsidRDefault="0045775B" w:rsidP="0045775B">
      <w:pPr>
        <w:spacing w:after="200" w:line="360" w:lineRule="exact"/>
        <w:ind w:firstLine="2302"/>
        <w:rPr>
          <w:rFonts w:eastAsia="Times New Roman" w:cs="Times New Roman"/>
          <w:snapToGrid w:val="0"/>
          <w:color w:val="000000"/>
          <w:sz w:val="24"/>
          <w:szCs w:val="20"/>
          <w:lang w:eastAsia="pt-BR"/>
        </w:rPr>
      </w:pPr>
      <w:r w:rsidRPr="0045775B">
        <w:rPr>
          <w:rFonts w:eastAsia="Times New Roman" w:cs="Times New Roman"/>
          <w:snapToGrid w:val="0"/>
          <w:color w:val="000000"/>
          <w:sz w:val="24"/>
          <w:szCs w:val="20"/>
          <w:lang w:eastAsia="pt-BR"/>
        </w:rPr>
        <w:t>Entendemos, que não é preciso flexibilizar, ainda mais, o ED em favor de atiradores e colecionadores, que, com os caçadores, conhecidos sob a sigla CAC, formam a categoria com direito a porte de arma considerada a menos fiscalizada pelo poder público.</w:t>
      </w:r>
    </w:p>
    <w:p w:rsidR="0045775B" w:rsidRPr="0045775B" w:rsidRDefault="0045775B" w:rsidP="0045775B">
      <w:pPr>
        <w:spacing w:after="200" w:line="360" w:lineRule="exact"/>
        <w:ind w:firstLine="2302"/>
        <w:rPr>
          <w:rFonts w:eastAsia="Times New Roman" w:cs="Times New Roman"/>
          <w:snapToGrid w:val="0"/>
          <w:color w:val="000000"/>
          <w:sz w:val="24"/>
          <w:szCs w:val="20"/>
          <w:lang w:eastAsia="pt-BR"/>
        </w:rPr>
      </w:pPr>
      <w:r w:rsidRPr="0045775B">
        <w:rPr>
          <w:rFonts w:eastAsia="Times New Roman" w:cs="Times New Roman"/>
          <w:snapToGrid w:val="0"/>
          <w:color w:val="000000"/>
          <w:sz w:val="24"/>
          <w:szCs w:val="20"/>
          <w:lang w:eastAsia="pt-BR"/>
        </w:rPr>
        <w:t xml:space="preserve">Com respeito à aquisição de armas e munições por parte dos integrantes das categorias fiscalizadas pelo Comando do Exército, por exemplo, não é o Estatuto do Desarmamento que dispõe sobre a matéria. Assim, descendo a estrutura hierárquica, temos os normativos editados pelo Comando Logístico (Colog), diretamente subordinado ao Comando do Exército, regulamentando a utilização de armas de uso restrito pelas categorias contempladas no art. 6º do ED, como a </w:t>
      </w:r>
      <w:hyperlink r:id="rId17" w:tgtFrame="_blank" w:history="1">
        <w:r w:rsidRPr="0045775B">
          <w:rPr>
            <w:rFonts w:eastAsia="Times New Roman" w:cs="Times New Roman"/>
            <w:snapToGrid w:val="0"/>
            <w:color w:val="000000"/>
            <w:sz w:val="24"/>
            <w:szCs w:val="20"/>
            <w:lang w:eastAsia="pt-BR"/>
          </w:rPr>
          <w:t>Portaria n. 14-DMB, de 9/9/98</w:t>
        </w:r>
      </w:hyperlink>
      <w:r w:rsidRPr="0045775B">
        <w:rPr>
          <w:rFonts w:eastAsia="Times New Roman" w:cs="Times New Roman"/>
          <w:snapToGrid w:val="0"/>
          <w:color w:val="000000"/>
          <w:sz w:val="24"/>
          <w:szCs w:val="20"/>
          <w:lang w:eastAsia="pt-BR"/>
        </w:rPr>
        <w:t xml:space="preserve">, que “aprova as Normas para a aquisição das armas e munições de calibres restritos ou proibidos pelos oficiais das Forças </w:t>
      </w:r>
      <w:r w:rsidRPr="0045775B">
        <w:rPr>
          <w:rFonts w:eastAsia="Times New Roman" w:cs="Times New Roman"/>
          <w:snapToGrid w:val="0"/>
          <w:color w:val="000000"/>
          <w:sz w:val="24"/>
          <w:szCs w:val="20"/>
          <w:lang w:eastAsia="pt-BR"/>
        </w:rPr>
        <w:lastRenderedPageBreak/>
        <w:t>Armadas, Policiais Federais, Colecionadores, Atiradores, Federações e Clubes de Tiro”.</w:t>
      </w:r>
      <w:r w:rsidRPr="0045775B">
        <w:rPr>
          <w:rFonts w:eastAsia="Times New Roman" w:cs="Times New Roman"/>
          <w:snapToGrid w:val="0"/>
          <w:color w:val="000000"/>
          <w:sz w:val="24"/>
          <w:szCs w:val="20"/>
          <w:lang w:eastAsia="pt-BR"/>
        </w:rPr>
        <w:footnoteReference w:id="1"/>
      </w:r>
    </w:p>
    <w:p w:rsidR="0045775B" w:rsidRPr="0045775B" w:rsidRDefault="0045775B" w:rsidP="0045775B">
      <w:pPr>
        <w:spacing w:after="200" w:line="360" w:lineRule="exact"/>
        <w:ind w:firstLine="2302"/>
        <w:rPr>
          <w:rFonts w:eastAsia="Times New Roman" w:cs="Times New Roman"/>
          <w:snapToGrid w:val="0"/>
          <w:color w:val="000000"/>
          <w:sz w:val="24"/>
          <w:szCs w:val="20"/>
          <w:lang w:eastAsia="pt-BR"/>
        </w:rPr>
      </w:pPr>
      <w:r w:rsidRPr="0045775B">
        <w:rPr>
          <w:rFonts w:eastAsia="Times New Roman" w:cs="Times New Roman"/>
          <w:snapToGrid w:val="0"/>
          <w:color w:val="000000"/>
          <w:sz w:val="24"/>
          <w:szCs w:val="20"/>
          <w:lang w:eastAsia="pt-BR"/>
        </w:rPr>
        <w:t>A Portaria n. 4-D Log, de 8/3/01, “aprova as Normas que Regulam as Atividades dos Atiradores”. Nesse tocante consideramos a norma muito liberal em relação à lógica desarmamentista do ED, conforme dispositivos transcritos abaixo:</w:t>
      </w:r>
    </w:p>
    <w:p w:rsidR="0045775B" w:rsidRPr="0045775B" w:rsidRDefault="0045775B" w:rsidP="0045775B">
      <w:pPr>
        <w:ind w:left="1418" w:firstLine="2"/>
        <w:rPr>
          <w:rFonts w:eastAsia="Times New Roman" w:cs="Times New Roman"/>
          <w:sz w:val="22"/>
          <w:szCs w:val="20"/>
          <w:lang w:eastAsia="pt-BR"/>
        </w:rPr>
      </w:pPr>
      <w:r w:rsidRPr="0045775B">
        <w:rPr>
          <w:rFonts w:eastAsia="Times New Roman" w:cs="Times New Roman"/>
          <w:sz w:val="22"/>
          <w:szCs w:val="20"/>
          <w:lang w:eastAsia="pt-BR"/>
        </w:rPr>
        <w:t>Art. 6</w:t>
      </w:r>
      <w:r w:rsidRPr="0045775B">
        <w:rPr>
          <w:rFonts w:eastAsia="Times New Roman" w:cs="Times New Roman"/>
          <w:sz w:val="22"/>
          <w:szCs w:val="20"/>
          <w:u w:val="single"/>
          <w:vertAlign w:val="superscript"/>
          <w:lang w:eastAsia="pt-BR"/>
        </w:rPr>
        <w:t>o</w:t>
      </w:r>
      <w:r w:rsidRPr="0045775B">
        <w:rPr>
          <w:rFonts w:eastAsia="Times New Roman" w:cs="Times New Roman"/>
          <w:sz w:val="22"/>
          <w:szCs w:val="20"/>
          <w:lang w:eastAsia="pt-BR"/>
        </w:rPr>
        <w:t xml:space="preserve"> Cada atirador pode possuir </w:t>
      </w:r>
      <w:r w:rsidRPr="0045775B">
        <w:rPr>
          <w:rFonts w:eastAsia="Times New Roman" w:cs="Times New Roman"/>
          <w:b/>
          <w:sz w:val="22"/>
          <w:szCs w:val="20"/>
          <w:lang w:eastAsia="pt-BR"/>
        </w:rPr>
        <w:t>até 12 (doze) armas, sendo até 4 (quatro) de uso restrito</w:t>
      </w:r>
      <w:r w:rsidRPr="0045775B">
        <w:rPr>
          <w:rFonts w:eastAsia="Times New Roman" w:cs="Times New Roman"/>
          <w:sz w:val="22"/>
          <w:szCs w:val="20"/>
          <w:lang w:eastAsia="pt-BR"/>
        </w:rPr>
        <w:t>, nos calibres devidamente autorizados pelo Departamento Logístico – D Log.</w:t>
      </w:r>
    </w:p>
    <w:p w:rsidR="0045775B" w:rsidRPr="0045775B" w:rsidRDefault="0045775B" w:rsidP="0045775B">
      <w:pPr>
        <w:ind w:left="1418"/>
        <w:rPr>
          <w:rFonts w:eastAsia="Times New Roman" w:cs="Times New Roman"/>
          <w:sz w:val="22"/>
          <w:szCs w:val="20"/>
          <w:lang w:eastAsia="pt-BR"/>
        </w:rPr>
      </w:pPr>
      <w:r w:rsidRPr="0045775B">
        <w:rPr>
          <w:rFonts w:eastAsia="Times New Roman" w:cs="Times New Roman"/>
          <w:sz w:val="22"/>
          <w:szCs w:val="20"/>
          <w:lang w:eastAsia="pt-BR"/>
        </w:rPr>
        <w:t>§ 1</w:t>
      </w:r>
      <w:r w:rsidRPr="0045775B">
        <w:rPr>
          <w:rFonts w:eastAsia="Times New Roman" w:cs="Times New Roman"/>
          <w:sz w:val="22"/>
          <w:szCs w:val="20"/>
          <w:u w:val="single"/>
          <w:vertAlign w:val="superscript"/>
          <w:lang w:eastAsia="pt-BR"/>
        </w:rPr>
        <w:t>o</w:t>
      </w:r>
      <w:r w:rsidRPr="0045775B">
        <w:rPr>
          <w:rFonts w:eastAsia="Times New Roman" w:cs="Times New Roman"/>
          <w:sz w:val="22"/>
          <w:szCs w:val="20"/>
          <w:lang w:eastAsia="pt-BR"/>
        </w:rPr>
        <w:t xml:space="preserve"> Em casos excepcionais, devidamente justificados, esses limites poderão ser ultrapassados, com autorização do D Log.</w:t>
      </w:r>
    </w:p>
    <w:p w:rsidR="0045775B" w:rsidRPr="0045775B" w:rsidRDefault="0045775B" w:rsidP="0045775B">
      <w:pPr>
        <w:ind w:left="1418"/>
        <w:rPr>
          <w:rFonts w:eastAsia="Times New Roman" w:cs="Times New Roman"/>
          <w:sz w:val="22"/>
          <w:szCs w:val="20"/>
          <w:lang w:eastAsia="pt-BR"/>
        </w:rPr>
      </w:pPr>
      <w:r w:rsidRPr="0045775B">
        <w:rPr>
          <w:rFonts w:eastAsia="Times New Roman" w:cs="Times New Roman"/>
          <w:sz w:val="22"/>
          <w:szCs w:val="20"/>
          <w:lang w:eastAsia="pt-BR"/>
        </w:rPr>
        <w:t>...................................................................................................................</w:t>
      </w:r>
    </w:p>
    <w:p w:rsidR="0045775B" w:rsidRPr="0045775B" w:rsidRDefault="0045775B" w:rsidP="0045775B">
      <w:pPr>
        <w:ind w:left="1418"/>
        <w:rPr>
          <w:rFonts w:eastAsia="Times New Roman" w:cs="Times New Roman"/>
          <w:sz w:val="22"/>
          <w:szCs w:val="20"/>
          <w:lang w:eastAsia="pt-BR"/>
        </w:rPr>
      </w:pPr>
      <w:r w:rsidRPr="0045775B">
        <w:rPr>
          <w:rFonts w:eastAsia="Times New Roman" w:cs="Times New Roman"/>
          <w:sz w:val="22"/>
          <w:szCs w:val="20"/>
          <w:lang w:eastAsia="pt-BR"/>
        </w:rPr>
        <w:t>Art. 8</w:t>
      </w:r>
      <w:r w:rsidRPr="0045775B">
        <w:rPr>
          <w:rFonts w:eastAsia="Times New Roman" w:cs="Times New Roman"/>
          <w:sz w:val="22"/>
          <w:szCs w:val="20"/>
          <w:u w:val="single"/>
          <w:vertAlign w:val="superscript"/>
          <w:lang w:eastAsia="pt-BR"/>
        </w:rPr>
        <w:t>o</w:t>
      </w:r>
      <w:r w:rsidRPr="0045775B">
        <w:rPr>
          <w:rFonts w:eastAsia="Times New Roman" w:cs="Times New Roman"/>
          <w:sz w:val="22"/>
          <w:szCs w:val="20"/>
          <w:lang w:eastAsia="pt-BR"/>
        </w:rPr>
        <w:t xml:space="preserve"> Não podem ser adquiridas para a prática esportiva, as armas de calibre 9x19 e 5,56 (.223), aquelas cuja munição comum tenha energia igual ou superior a 4.073 Joules ou 3.000 libras-pé, as automáticas de qualquer tipo e os fuzis e carabinas semi-automáticos de calibre de uso restrito.</w:t>
      </w:r>
    </w:p>
    <w:p w:rsidR="0045775B" w:rsidRPr="0045775B" w:rsidRDefault="0045775B" w:rsidP="0045775B">
      <w:pPr>
        <w:ind w:left="1418"/>
        <w:rPr>
          <w:rFonts w:ascii="Times New Roman" w:eastAsia="Times New Roman" w:hAnsi="Times New Roman" w:cs="Times New Roman"/>
          <w:sz w:val="22"/>
          <w:szCs w:val="20"/>
          <w:lang w:eastAsia="pt-BR"/>
        </w:rPr>
      </w:pPr>
      <w:r w:rsidRPr="0045775B">
        <w:rPr>
          <w:rFonts w:ascii="Times New Roman" w:eastAsia="Times New Roman" w:hAnsi="Times New Roman" w:cs="Times New Roman"/>
          <w:sz w:val="22"/>
          <w:szCs w:val="20"/>
          <w:lang w:eastAsia="pt-BR"/>
        </w:rPr>
        <w:t>Parágrafo único. Os oficiais de carreira das Forças Armadas e os Policiais Federais, que possuírem armas no calibre 9x19, devidamente registradas, poderão utilizá-las na prática esportiva de Tiro Prático.</w:t>
      </w:r>
    </w:p>
    <w:p w:rsidR="0045775B" w:rsidRPr="0045775B" w:rsidRDefault="0045775B" w:rsidP="0045775B">
      <w:pPr>
        <w:ind w:left="1418"/>
        <w:rPr>
          <w:rFonts w:eastAsia="Times New Roman" w:cs="Times New Roman"/>
          <w:sz w:val="22"/>
          <w:szCs w:val="20"/>
          <w:lang w:eastAsia="pt-BR"/>
        </w:rPr>
      </w:pPr>
      <w:r w:rsidRPr="0045775B">
        <w:rPr>
          <w:rFonts w:eastAsia="Times New Roman" w:cs="Times New Roman"/>
          <w:sz w:val="22"/>
          <w:szCs w:val="20"/>
          <w:lang w:eastAsia="pt-BR"/>
        </w:rPr>
        <w:t>...................................................................................................................</w:t>
      </w:r>
    </w:p>
    <w:p w:rsidR="0045775B" w:rsidRPr="0045775B" w:rsidRDefault="0045775B" w:rsidP="0045775B">
      <w:pPr>
        <w:ind w:left="1418" w:firstLine="2"/>
        <w:rPr>
          <w:rFonts w:eastAsia="Times New Roman" w:cs="Times New Roman"/>
          <w:sz w:val="22"/>
          <w:szCs w:val="20"/>
          <w:lang w:eastAsia="pt-BR"/>
        </w:rPr>
      </w:pPr>
      <w:r w:rsidRPr="0045775B">
        <w:rPr>
          <w:rFonts w:eastAsia="Times New Roman" w:cs="Times New Roman"/>
          <w:sz w:val="22"/>
          <w:szCs w:val="20"/>
          <w:lang w:eastAsia="pt-BR"/>
        </w:rPr>
        <w:t>Art. 16. O atirador poderá adquirir, mensalmente, no comércio especializado ou diretamente na indústria nacional, até 750 (setecentos e cinqüenta) cartuchos carregados a bala e até 750 (setecentos e cinqüenta) cartuchos carregados a chumbo, para as armas que possuir para o tiro e as modalidades de esporte que praticar, sempre com autorização, caso a caso, do Comando da RM de vinculação.</w:t>
      </w:r>
    </w:p>
    <w:p w:rsidR="0045775B" w:rsidRPr="0045775B" w:rsidRDefault="0045775B" w:rsidP="0045775B">
      <w:pPr>
        <w:ind w:left="1418" w:firstLine="2"/>
        <w:rPr>
          <w:rFonts w:eastAsia="Times New Roman" w:cs="Times New Roman"/>
          <w:sz w:val="22"/>
          <w:szCs w:val="20"/>
          <w:lang w:eastAsia="pt-BR"/>
        </w:rPr>
      </w:pPr>
      <w:r w:rsidRPr="0045775B">
        <w:rPr>
          <w:rFonts w:eastAsia="Times New Roman" w:cs="Times New Roman"/>
          <w:sz w:val="22"/>
          <w:szCs w:val="20"/>
          <w:lang w:eastAsia="pt-BR"/>
        </w:rPr>
        <w:t xml:space="preserve">Parágrafo único. No caso de competições e seus treinamentos, desde que a necessidade seja comprovada, </w:t>
      </w:r>
      <w:r w:rsidRPr="0045775B">
        <w:rPr>
          <w:rFonts w:eastAsia="Times New Roman" w:cs="Times New Roman"/>
          <w:b/>
          <w:sz w:val="22"/>
          <w:szCs w:val="20"/>
          <w:lang w:eastAsia="pt-BR"/>
        </w:rPr>
        <w:t>essas quantidades poderão ser aumentadas</w:t>
      </w:r>
      <w:r w:rsidRPr="0045775B">
        <w:rPr>
          <w:rFonts w:eastAsia="Times New Roman" w:cs="Times New Roman"/>
          <w:sz w:val="22"/>
          <w:szCs w:val="20"/>
          <w:lang w:eastAsia="pt-BR"/>
        </w:rPr>
        <w:t>, com autorização do D Log.</w:t>
      </w:r>
    </w:p>
    <w:p w:rsidR="0045775B" w:rsidRPr="0045775B" w:rsidRDefault="0045775B" w:rsidP="0045775B">
      <w:pPr>
        <w:ind w:left="1418"/>
        <w:rPr>
          <w:rFonts w:eastAsia="Times New Roman" w:cs="Times New Roman"/>
          <w:sz w:val="22"/>
          <w:szCs w:val="20"/>
          <w:lang w:eastAsia="pt-BR"/>
        </w:rPr>
      </w:pPr>
      <w:r w:rsidRPr="0045775B">
        <w:rPr>
          <w:rFonts w:eastAsia="Times New Roman" w:cs="Times New Roman"/>
          <w:sz w:val="22"/>
          <w:szCs w:val="20"/>
          <w:lang w:eastAsia="pt-BR"/>
        </w:rPr>
        <w:t>...................................................................................................................</w:t>
      </w:r>
    </w:p>
    <w:p w:rsidR="0045775B" w:rsidRPr="0045775B" w:rsidRDefault="0045775B" w:rsidP="0045775B">
      <w:pPr>
        <w:spacing w:after="240"/>
        <w:ind w:left="1418"/>
        <w:rPr>
          <w:rFonts w:ascii="Times New Roman" w:eastAsia="Times New Roman" w:hAnsi="Times New Roman" w:cs="Times New Roman"/>
          <w:sz w:val="22"/>
          <w:szCs w:val="20"/>
          <w:lang w:eastAsia="pt-BR"/>
        </w:rPr>
      </w:pPr>
      <w:r w:rsidRPr="0045775B">
        <w:rPr>
          <w:rFonts w:eastAsia="Times New Roman" w:cs="Times New Roman"/>
          <w:sz w:val="22"/>
          <w:szCs w:val="20"/>
          <w:lang w:eastAsia="pt-BR"/>
        </w:rPr>
        <w:t xml:space="preserve">Art. 19. Os atiradores e os clubes de tiro, que possuam equipamento de recarga apostilado ao seu CR, estão </w:t>
      </w:r>
      <w:r w:rsidRPr="0045775B">
        <w:rPr>
          <w:rFonts w:eastAsia="Times New Roman" w:cs="Times New Roman"/>
          <w:b/>
          <w:sz w:val="22"/>
          <w:szCs w:val="20"/>
          <w:lang w:eastAsia="pt-BR"/>
        </w:rPr>
        <w:t>autorizados a executar a recarga de munição</w:t>
      </w:r>
      <w:r w:rsidRPr="0045775B">
        <w:rPr>
          <w:rFonts w:eastAsia="Times New Roman" w:cs="Times New Roman"/>
          <w:sz w:val="22"/>
          <w:szCs w:val="20"/>
          <w:lang w:eastAsia="pt-BR"/>
        </w:rPr>
        <w:t xml:space="preserve">, para seu uso exclusivo na prática do esporte. </w:t>
      </w:r>
    </w:p>
    <w:p w:rsidR="0045775B" w:rsidRPr="0045775B" w:rsidRDefault="0045775B" w:rsidP="0045775B">
      <w:pPr>
        <w:spacing w:after="200" w:line="360" w:lineRule="exact"/>
        <w:ind w:firstLine="2302"/>
        <w:rPr>
          <w:rFonts w:eastAsia="Times New Roman" w:cs="Times New Roman"/>
          <w:snapToGrid w:val="0"/>
          <w:color w:val="000000"/>
          <w:sz w:val="24"/>
          <w:szCs w:val="20"/>
          <w:lang w:eastAsia="pt-BR"/>
        </w:rPr>
      </w:pPr>
      <w:r w:rsidRPr="0045775B">
        <w:rPr>
          <w:rFonts w:eastAsia="Times New Roman" w:cs="Times New Roman"/>
          <w:snapToGrid w:val="0"/>
          <w:color w:val="000000"/>
          <w:sz w:val="24"/>
          <w:szCs w:val="20"/>
          <w:lang w:eastAsia="pt-BR"/>
        </w:rPr>
        <w:t>Com base nessa portaria o Vice-chefe do D Log expediu, em 9/4/2001, o Ofício n. 50, em que relaciona os calibres autorizados para o tiro esportivo, nos termos do art. 44 da portaria, nos seguintes termos:</w:t>
      </w:r>
    </w:p>
    <w:p w:rsidR="0045775B" w:rsidRPr="0045775B" w:rsidRDefault="0045775B" w:rsidP="00884911">
      <w:pPr>
        <w:spacing w:beforeAutospacing="1" w:afterAutospacing="1"/>
        <w:ind w:left="1416"/>
        <w:rPr>
          <w:rFonts w:eastAsia="Times New Roman" w:cs="Times New Roman"/>
          <w:sz w:val="22"/>
          <w:szCs w:val="24"/>
          <w:lang w:eastAsia="pt-BR"/>
        </w:rPr>
      </w:pPr>
      <w:r w:rsidRPr="0045775B">
        <w:rPr>
          <w:rFonts w:eastAsia="Times New Roman" w:cs="Times New Roman"/>
          <w:sz w:val="22"/>
          <w:szCs w:val="24"/>
          <w:lang w:eastAsia="pt-BR"/>
        </w:rPr>
        <w:t>1. Tiro com armas longas raiadas</w:t>
      </w:r>
      <w:r w:rsidRPr="0045775B">
        <w:rPr>
          <w:rFonts w:eastAsia="Times New Roman" w:cs="Times New Roman"/>
          <w:b/>
          <w:sz w:val="22"/>
          <w:szCs w:val="24"/>
          <w:lang w:eastAsia="pt-BR"/>
        </w:rPr>
        <w:t xml:space="preserve"> </w:t>
      </w:r>
      <w:r w:rsidRPr="0045775B">
        <w:rPr>
          <w:rFonts w:eastAsia="Times New Roman" w:cs="Times New Roman"/>
          <w:sz w:val="22"/>
          <w:szCs w:val="24"/>
          <w:lang w:eastAsia="pt-BR"/>
        </w:rPr>
        <w:t>(fuzil, carabina e mosquetão): .22 – 250 Remington; .243 Winchester; .270 Winchester; 7 x 57mm Mauser; .308 Winchester; e .30 – 06 Springfield.</w:t>
      </w:r>
    </w:p>
    <w:p w:rsidR="0045775B" w:rsidRPr="0045775B" w:rsidRDefault="0045775B" w:rsidP="00884911">
      <w:pPr>
        <w:spacing w:beforeAutospacing="1" w:afterAutospacing="1"/>
        <w:ind w:left="1416"/>
        <w:rPr>
          <w:rFonts w:eastAsia="Times New Roman" w:cs="Times New Roman"/>
          <w:sz w:val="22"/>
          <w:szCs w:val="24"/>
          <w:lang w:eastAsia="pt-BR"/>
        </w:rPr>
      </w:pPr>
      <w:r w:rsidRPr="0045775B">
        <w:rPr>
          <w:rFonts w:eastAsia="Times New Roman" w:cs="Times New Roman"/>
          <w:sz w:val="22"/>
          <w:szCs w:val="24"/>
          <w:lang w:eastAsia="pt-BR"/>
        </w:rPr>
        <w:t>2. Tiro prático – IPSC (</w:t>
      </w:r>
      <w:r w:rsidRPr="0045775B">
        <w:rPr>
          <w:rFonts w:eastAsia="Times New Roman" w:cs="Times New Roman"/>
          <w:i/>
          <w:sz w:val="22"/>
          <w:szCs w:val="24"/>
          <w:lang w:eastAsia="pt-BR"/>
        </w:rPr>
        <w:t>Internacional Practical Shooting Confederation</w:t>
      </w:r>
      <w:r w:rsidRPr="0045775B">
        <w:rPr>
          <w:rFonts w:eastAsia="Times New Roman" w:cs="Times New Roman"/>
          <w:sz w:val="22"/>
          <w:szCs w:val="24"/>
          <w:lang w:eastAsia="pt-BR"/>
        </w:rPr>
        <w:t>): .45 ACP; .40 S &amp; W; .357 Magnum; .38 Super Auto; e .44 Magnum.</w:t>
      </w:r>
    </w:p>
    <w:p w:rsidR="0045775B" w:rsidRPr="0045775B" w:rsidRDefault="0045775B" w:rsidP="00884911">
      <w:pPr>
        <w:spacing w:beforeAutospacing="1" w:after="240" w:afterAutospacing="1"/>
        <w:ind w:left="1418"/>
        <w:rPr>
          <w:rFonts w:eastAsia="Times New Roman" w:cs="Times New Roman"/>
          <w:sz w:val="22"/>
          <w:szCs w:val="24"/>
          <w:lang w:eastAsia="pt-BR"/>
        </w:rPr>
      </w:pPr>
      <w:r w:rsidRPr="0045775B">
        <w:rPr>
          <w:rFonts w:eastAsia="Times New Roman" w:cs="Times New Roman"/>
          <w:sz w:val="22"/>
          <w:szCs w:val="24"/>
          <w:lang w:eastAsia="pt-BR"/>
        </w:rPr>
        <w:lastRenderedPageBreak/>
        <w:t>3. Tiro prático – IHMSA (</w:t>
      </w:r>
      <w:r w:rsidRPr="0045775B">
        <w:rPr>
          <w:rFonts w:eastAsia="Times New Roman" w:cs="Times New Roman"/>
          <w:i/>
          <w:sz w:val="22"/>
          <w:szCs w:val="24"/>
          <w:lang w:eastAsia="pt-BR"/>
        </w:rPr>
        <w:t>Internacional Handgun Metallic Silhouette Association</w:t>
      </w:r>
      <w:r w:rsidRPr="0045775B">
        <w:rPr>
          <w:rFonts w:eastAsia="Times New Roman" w:cs="Times New Roman"/>
          <w:sz w:val="22"/>
          <w:szCs w:val="24"/>
          <w:lang w:eastAsia="pt-BR"/>
        </w:rPr>
        <w:t>): .30 M1 (uso permitido); .22 Hornet; .22 Magnum; .30 Herret; .300 Whisper; .300-221; .30-30 Winchester; .32-20 Winchester (uso permitido); .357 Magnum; .41 Magnum; .357 Maximum; .44 Magnum; 6,5 mm TCU; 6 mm TCU; 7 mm TCU; 7 mm BR Remington; 7 mm IHMSA; 7 mm Internacional; 7 mm United States; 7 mm-08 Remington; 7 mm-30 Waters; e 7 x 57 mm Mauser.</w:t>
      </w:r>
    </w:p>
    <w:p w:rsidR="0045775B" w:rsidRPr="0045775B" w:rsidRDefault="0045775B" w:rsidP="0045775B">
      <w:pPr>
        <w:spacing w:after="200" w:line="360" w:lineRule="exact"/>
        <w:ind w:firstLine="2302"/>
        <w:rPr>
          <w:rFonts w:eastAsia="Times New Roman" w:cs="Times New Roman"/>
          <w:snapToGrid w:val="0"/>
          <w:color w:val="000000"/>
          <w:sz w:val="24"/>
          <w:szCs w:val="20"/>
          <w:lang w:eastAsia="pt-BR"/>
        </w:rPr>
      </w:pPr>
      <w:r w:rsidRPr="0045775B">
        <w:rPr>
          <w:rFonts w:eastAsia="Times New Roman" w:cs="Times New Roman"/>
          <w:snapToGrid w:val="0"/>
          <w:color w:val="000000"/>
          <w:sz w:val="24"/>
          <w:szCs w:val="20"/>
          <w:lang w:eastAsia="pt-BR"/>
        </w:rPr>
        <w:t>Ora, dentre as categorias abrangidas pelo art. 6º do Estatuto, apenas duas não representam forças públicas que, direta ou indiretamente, estão envolvidos com a defesa externa e interna do país, que são os abrangidos pelo inciso VIII (segurança privada) e IX (desportistas).</w:t>
      </w:r>
      <w:r w:rsidRPr="0045775B">
        <w:rPr>
          <w:rFonts w:eastAsia="Times New Roman" w:cs="Times New Roman"/>
          <w:b/>
          <w:snapToGrid w:val="0"/>
          <w:color w:val="000000"/>
          <w:sz w:val="24"/>
          <w:szCs w:val="20"/>
          <w:lang w:eastAsia="pt-BR"/>
        </w:rPr>
        <w:t xml:space="preserve"> </w:t>
      </w:r>
      <w:r w:rsidRPr="0045775B">
        <w:rPr>
          <w:rFonts w:eastAsia="Times New Roman" w:cs="Times New Roman"/>
          <w:snapToGrid w:val="0"/>
          <w:color w:val="000000"/>
          <w:sz w:val="24"/>
          <w:szCs w:val="20"/>
          <w:lang w:eastAsia="pt-BR"/>
        </w:rPr>
        <w:t>Com exceção dessas duas categorias, todas as demais são constituídas por servidores públicos que, em tese, desempenham atividades típicas de Estado. A possibilidade de concessão de autorização para porte de arma de fogo para tais categorias (segurança privada e desportistas) é meramente medida necessária sem a qual restariam inviabilizadas as respectivas atividades. Já a concessão do porte para colecionadores, sob essa óptica, não faria sentido.</w:t>
      </w:r>
    </w:p>
    <w:p w:rsidR="0045775B" w:rsidRPr="0045775B" w:rsidRDefault="0045775B" w:rsidP="0045775B">
      <w:pPr>
        <w:spacing w:after="200" w:line="360" w:lineRule="exact"/>
        <w:ind w:firstLine="2302"/>
        <w:rPr>
          <w:rFonts w:eastAsia="Times New Roman" w:cs="Times New Roman"/>
          <w:snapToGrid w:val="0"/>
          <w:color w:val="000000"/>
          <w:sz w:val="24"/>
          <w:szCs w:val="20"/>
          <w:lang w:eastAsia="pt-BR"/>
        </w:rPr>
      </w:pPr>
      <w:r w:rsidRPr="0045775B">
        <w:rPr>
          <w:rFonts w:eastAsia="Times New Roman" w:cs="Times New Roman"/>
          <w:snapToGrid w:val="0"/>
          <w:color w:val="000000"/>
          <w:sz w:val="24"/>
          <w:szCs w:val="20"/>
          <w:lang w:eastAsia="pt-BR"/>
        </w:rPr>
        <w:t xml:space="preserve">Noutra óptica, se não houver limitações aos potenciais abusos, logo surgirão muitos “desportistas” e “colecionadores” a se qualificarem como tal e requererem autorização para o porte de arma para fins escusos. </w:t>
      </w:r>
    </w:p>
    <w:p w:rsidR="0045775B" w:rsidRPr="0045775B" w:rsidRDefault="0045775B" w:rsidP="0045775B">
      <w:pPr>
        <w:spacing w:after="200" w:line="360" w:lineRule="exact"/>
        <w:ind w:firstLine="2302"/>
        <w:rPr>
          <w:rFonts w:eastAsia="Times New Roman" w:cs="Times New Roman"/>
          <w:snapToGrid w:val="0"/>
          <w:color w:val="000000"/>
          <w:sz w:val="24"/>
          <w:szCs w:val="20"/>
          <w:lang w:eastAsia="pt-BR"/>
        </w:rPr>
      </w:pPr>
      <w:r w:rsidRPr="0045775B">
        <w:rPr>
          <w:rFonts w:eastAsia="Times New Roman" w:cs="Times New Roman"/>
          <w:snapToGrid w:val="0"/>
          <w:color w:val="000000"/>
          <w:sz w:val="24"/>
          <w:szCs w:val="20"/>
          <w:lang w:eastAsia="pt-BR"/>
        </w:rPr>
        <w:t>Ainda noutra senda, é sabido que boa parte dos atiradores desportivos são militares das Forças Armadas, das forças militares estaduais e distritais e das forças policiais, os quais já são contemplados com a autorização para porte de arma de fogo de uso pessoal. Queremos crer que o mesmo se pode dizer de boa parte dos colecionadores, no sentido de serem ex-militares ou militares da reserva, os quais já teriam o direito ou, por sua proximidade com as autoridades castrenses, certamente não teriam dificuldade na obtenção do porte de arma para defesa pessoal.</w:t>
      </w:r>
    </w:p>
    <w:p w:rsidR="0045775B" w:rsidRPr="0045775B" w:rsidRDefault="0045775B" w:rsidP="0045775B">
      <w:pPr>
        <w:spacing w:after="200" w:line="360" w:lineRule="exact"/>
        <w:ind w:firstLine="2302"/>
        <w:rPr>
          <w:rFonts w:eastAsia="Times New Roman" w:cs="Times New Roman"/>
          <w:snapToGrid w:val="0"/>
          <w:color w:val="000000"/>
          <w:sz w:val="24"/>
          <w:szCs w:val="20"/>
          <w:lang w:eastAsia="pt-BR"/>
        </w:rPr>
      </w:pPr>
      <w:r w:rsidRPr="0045775B">
        <w:rPr>
          <w:rFonts w:eastAsia="Times New Roman" w:cs="Times New Roman"/>
          <w:snapToGrid w:val="0"/>
          <w:color w:val="000000"/>
          <w:sz w:val="24"/>
          <w:szCs w:val="20"/>
          <w:lang w:eastAsia="pt-BR"/>
        </w:rPr>
        <w:t xml:space="preserve">Em face do exposto, votamos pela REJEIÇÃO do Projeto de Lei n. 6.971/2010. </w:t>
      </w:r>
    </w:p>
    <w:p w:rsidR="0045775B" w:rsidRPr="0045775B" w:rsidRDefault="0045775B" w:rsidP="0045775B">
      <w:pPr>
        <w:keepNext/>
        <w:widowControl w:val="0"/>
        <w:spacing w:after="200" w:line="360" w:lineRule="exact"/>
        <w:ind w:firstLine="2302"/>
        <w:rPr>
          <w:rFonts w:eastAsia="Times New Roman" w:cs="Times New Roman"/>
          <w:snapToGrid w:val="0"/>
          <w:color w:val="000000"/>
          <w:sz w:val="24"/>
          <w:szCs w:val="20"/>
          <w:lang w:eastAsia="pt-BR"/>
        </w:rPr>
      </w:pPr>
      <w:r w:rsidRPr="0045775B">
        <w:rPr>
          <w:rFonts w:eastAsia="Times New Roman" w:cs="Times New Roman"/>
          <w:snapToGrid w:val="0"/>
          <w:color w:val="000000"/>
          <w:sz w:val="24"/>
          <w:szCs w:val="20"/>
          <w:lang w:eastAsia="pt-BR"/>
        </w:rPr>
        <w:t>Sala da Comissão, em 19 de abril de 2012.</w:t>
      </w:r>
    </w:p>
    <w:p w:rsidR="00884911" w:rsidRDefault="00884911" w:rsidP="0045775B">
      <w:pPr>
        <w:widowControl w:val="0"/>
        <w:spacing w:line="360" w:lineRule="exact"/>
        <w:ind w:firstLine="360"/>
        <w:jc w:val="center"/>
        <w:rPr>
          <w:rFonts w:eastAsia="Times New Roman" w:cs="Times New Roman"/>
          <w:b/>
          <w:snapToGrid w:val="0"/>
          <w:color w:val="000000"/>
          <w:sz w:val="24"/>
          <w:szCs w:val="20"/>
          <w:lang w:eastAsia="pt-BR"/>
        </w:rPr>
      </w:pPr>
    </w:p>
    <w:p w:rsidR="0045775B" w:rsidRPr="0045775B" w:rsidRDefault="0045775B" w:rsidP="0045775B">
      <w:pPr>
        <w:widowControl w:val="0"/>
        <w:spacing w:line="360" w:lineRule="exact"/>
        <w:ind w:firstLine="360"/>
        <w:jc w:val="center"/>
        <w:rPr>
          <w:rFonts w:eastAsia="Times New Roman" w:cs="Times New Roman"/>
          <w:b/>
          <w:snapToGrid w:val="0"/>
          <w:color w:val="000000"/>
          <w:sz w:val="24"/>
          <w:szCs w:val="20"/>
          <w:lang w:eastAsia="pt-BR"/>
        </w:rPr>
      </w:pPr>
      <w:r w:rsidRPr="0045775B">
        <w:rPr>
          <w:rFonts w:eastAsia="Times New Roman" w:cs="Times New Roman"/>
          <w:b/>
          <w:snapToGrid w:val="0"/>
          <w:color w:val="000000"/>
          <w:sz w:val="24"/>
          <w:szCs w:val="20"/>
          <w:lang w:eastAsia="pt-BR"/>
        </w:rPr>
        <w:t>Deputado EDIO LOPES</w:t>
      </w:r>
    </w:p>
    <w:p w:rsidR="0045775B" w:rsidRPr="0045775B" w:rsidRDefault="0045775B" w:rsidP="0045775B">
      <w:pPr>
        <w:widowControl w:val="0"/>
        <w:spacing w:after="200" w:line="360" w:lineRule="exact"/>
        <w:jc w:val="center"/>
        <w:rPr>
          <w:rFonts w:eastAsia="Times New Roman" w:cs="Times New Roman"/>
          <w:b/>
          <w:snapToGrid w:val="0"/>
          <w:color w:val="000000"/>
          <w:sz w:val="28"/>
          <w:szCs w:val="20"/>
          <w:lang w:eastAsia="pt-BR"/>
        </w:rPr>
      </w:pPr>
      <w:r w:rsidRPr="0045775B">
        <w:rPr>
          <w:rFonts w:eastAsia="Times New Roman" w:cs="Times New Roman"/>
          <w:snapToGrid w:val="0"/>
          <w:color w:val="000000"/>
          <w:sz w:val="24"/>
          <w:szCs w:val="20"/>
          <w:lang w:eastAsia="pt-BR"/>
        </w:rPr>
        <w:t>Relator</w:t>
      </w:r>
    </w:p>
    <w:p w:rsidR="00884911" w:rsidRDefault="00884911">
      <w:pPr>
        <w:spacing w:after="200" w:line="276" w:lineRule="auto"/>
        <w:jc w:val="left"/>
        <w:rPr>
          <w:rFonts w:eastAsia="Times New Roman"/>
          <w:b/>
          <w:snapToGrid w:val="0"/>
          <w:color w:val="000000"/>
          <w:sz w:val="28"/>
          <w:szCs w:val="28"/>
          <w:lang w:eastAsia="pt-BR"/>
        </w:rPr>
      </w:pPr>
      <w:r>
        <w:rPr>
          <w:rFonts w:eastAsia="Times New Roman"/>
          <w:b/>
          <w:snapToGrid w:val="0"/>
          <w:color w:val="000000"/>
          <w:sz w:val="28"/>
          <w:szCs w:val="28"/>
          <w:lang w:eastAsia="pt-BR"/>
        </w:rPr>
        <w:br w:type="page"/>
      </w:r>
    </w:p>
    <w:p w:rsidR="00884911" w:rsidRPr="00884911" w:rsidRDefault="00884911" w:rsidP="00884911">
      <w:pPr>
        <w:widowControl w:val="0"/>
        <w:spacing w:after="120" w:line="360" w:lineRule="exact"/>
        <w:ind w:left="4680" w:hanging="4680"/>
        <w:jc w:val="center"/>
        <w:rPr>
          <w:rFonts w:eastAsia="Times New Roman"/>
          <w:b/>
          <w:snapToGrid w:val="0"/>
          <w:color w:val="000000"/>
          <w:sz w:val="28"/>
          <w:szCs w:val="28"/>
          <w:lang w:eastAsia="pt-BR"/>
        </w:rPr>
      </w:pPr>
      <w:r w:rsidRPr="00884911">
        <w:rPr>
          <w:rFonts w:eastAsia="Times New Roman"/>
          <w:b/>
          <w:snapToGrid w:val="0"/>
          <w:color w:val="000000"/>
          <w:sz w:val="28"/>
          <w:szCs w:val="28"/>
          <w:lang w:eastAsia="pt-BR"/>
        </w:rPr>
        <w:lastRenderedPageBreak/>
        <w:t>COMPLEMENTAÇÃO DE VOTO</w:t>
      </w:r>
    </w:p>
    <w:p w:rsidR="00884911" w:rsidRPr="00884911" w:rsidRDefault="00884911" w:rsidP="00884911">
      <w:pPr>
        <w:spacing w:before="600" w:after="600" w:line="360" w:lineRule="exact"/>
        <w:outlineLvl w:val="2"/>
        <w:rPr>
          <w:rFonts w:eastAsia="Times New Roman"/>
          <w:b/>
          <w:sz w:val="28"/>
          <w:szCs w:val="28"/>
          <w:lang w:eastAsia="pt-BR"/>
        </w:rPr>
      </w:pPr>
      <w:r w:rsidRPr="00884911">
        <w:rPr>
          <w:rFonts w:eastAsia="Times New Roman"/>
          <w:b/>
          <w:sz w:val="28"/>
          <w:szCs w:val="28"/>
          <w:lang w:eastAsia="pt-BR"/>
        </w:rPr>
        <w:t xml:space="preserve">I – </w:t>
      </w:r>
      <w:r w:rsidRPr="00884911">
        <w:rPr>
          <w:rFonts w:eastAsia="Times New Roman"/>
          <w:b/>
          <w:bCs/>
          <w:snapToGrid w:val="0"/>
          <w:sz w:val="28"/>
          <w:szCs w:val="20"/>
          <w:lang w:eastAsia="pt-BR"/>
        </w:rPr>
        <w:t>RELATÓRIO</w:t>
      </w:r>
    </w:p>
    <w:p w:rsidR="00884911" w:rsidRPr="00884911" w:rsidRDefault="00884911" w:rsidP="00884911">
      <w:pPr>
        <w:spacing w:afterLines="120" w:after="288" w:line="360" w:lineRule="auto"/>
        <w:ind w:firstLine="2302"/>
        <w:rPr>
          <w:rFonts w:eastAsia="Times New Roman"/>
          <w:snapToGrid w:val="0"/>
          <w:color w:val="000000"/>
          <w:sz w:val="24"/>
          <w:szCs w:val="20"/>
          <w:lang w:eastAsia="pt-BR"/>
        </w:rPr>
      </w:pPr>
      <w:r w:rsidRPr="00884911">
        <w:rPr>
          <w:rFonts w:eastAsia="Times New Roman"/>
          <w:snapToGrid w:val="0"/>
          <w:color w:val="000000"/>
          <w:sz w:val="24"/>
          <w:szCs w:val="20"/>
          <w:lang w:eastAsia="pt-BR"/>
        </w:rPr>
        <w:t xml:space="preserve">O Projeto de Lei nº 6.971, de 2010, propõe alteração da Lei nº 10.826, de 22 de dezembro de 2003 – Estatuto do Desarmamento, objetivando permitir o porte de arma aos colecionadores e atiradores.  </w:t>
      </w:r>
    </w:p>
    <w:p w:rsidR="00884911" w:rsidRPr="00884911" w:rsidRDefault="00884911" w:rsidP="00884911">
      <w:pPr>
        <w:spacing w:afterLines="120" w:after="288" w:line="360" w:lineRule="auto"/>
        <w:ind w:firstLine="2302"/>
        <w:rPr>
          <w:rFonts w:eastAsia="Times New Roman"/>
          <w:snapToGrid w:val="0"/>
          <w:color w:val="000000"/>
          <w:sz w:val="24"/>
          <w:szCs w:val="20"/>
          <w:lang w:eastAsia="pt-BR"/>
        </w:rPr>
      </w:pPr>
      <w:r w:rsidRPr="00884911">
        <w:rPr>
          <w:rFonts w:eastAsia="Times New Roman"/>
          <w:snapToGrid w:val="0"/>
          <w:color w:val="000000"/>
          <w:sz w:val="24"/>
          <w:szCs w:val="20"/>
          <w:lang w:eastAsia="pt-BR"/>
        </w:rPr>
        <w:t>Em uma primeira análise, julgamos não haver uma argumentação suficientemente convincente acerca da necessidade apontada.</w:t>
      </w:r>
    </w:p>
    <w:p w:rsidR="00884911" w:rsidRPr="00884911" w:rsidRDefault="00884911" w:rsidP="00884911">
      <w:pPr>
        <w:spacing w:afterLines="120" w:after="288" w:line="360" w:lineRule="auto"/>
        <w:ind w:firstLine="2302"/>
        <w:rPr>
          <w:rFonts w:eastAsia="Times New Roman"/>
          <w:snapToGrid w:val="0"/>
          <w:color w:val="000000"/>
          <w:sz w:val="24"/>
          <w:szCs w:val="20"/>
          <w:lang w:eastAsia="pt-BR"/>
        </w:rPr>
      </w:pPr>
      <w:r w:rsidRPr="00884911">
        <w:rPr>
          <w:rFonts w:eastAsia="Times New Roman"/>
          <w:snapToGrid w:val="0"/>
          <w:color w:val="000000"/>
          <w:sz w:val="24"/>
          <w:szCs w:val="20"/>
          <w:lang w:eastAsia="pt-BR"/>
        </w:rPr>
        <w:t xml:space="preserve">Ao mesmo tempo, entendíamos não haver necessidade de se flexibilizar ainda mais o Estatuto do Desarmamento em favor de atiradores e colecionadores, que, são conhecidos com a sigla CAC. </w:t>
      </w:r>
    </w:p>
    <w:p w:rsidR="00884911" w:rsidRPr="00884911" w:rsidRDefault="00884911" w:rsidP="00884911">
      <w:pPr>
        <w:spacing w:afterLines="120" w:after="288" w:line="360" w:lineRule="auto"/>
        <w:ind w:firstLine="2302"/>
        <w:rPr>
          <w:rFonts w:eastAsia="Times New Roman"/>
          <w:snapToGrid w:val="0"/>
          <w:color w:val="000000"/>
          <w:sz w:val="24"/>
          <w:szCs w:val="20"/>
          <w:lang w:eastAsia="pt-BR"/>
        </w:rPr>
      </w:pPr>
      <w:r w:rsidRPr="00884911">
        <w:rPr>
          <w:rFonts w:eastAsia="Times New Roman"/>
          <w:snapToGrid w:val="0"/>
          <w:color w:val="000000"/>
          <w:sz w:val="24"/>
          <w:szCs w:val="20"/>
          <w:lang w:eastAsia="pt-BR"/>
        </w:rPr>
        <w:t>Por estes motivos e argumentos expostos no texto da relatoria apresentado, elaboramos parecer pela rejeição do projeto de lei sob exame. Entretanto, a fase de discussão da matéria neste órgão técnico foi bastante profícua e ensejou no surgimento de novos elementos acerca da adequação e mérito da proposição em causa. Cito a realização de audiência pública para debater o projeto e a manifestação escrita de voto separado do nobre Deputado Guilherme Campos, pela aprovação do projeto com substitutivo.</w:t>
      </w:r>
    </w:p>
    <w:p w:rsidR="00884911" w:rsidRPr="00884911" w:rsidRDefault="00884911" w:rsidP="00884911">
      <w:pPr>
        <w:spacing w:afterLines="120" w:after="288" w:line="360" w:lineRule="auto"/>
        <w:ind w:firstLine="2302"/>
        <w:rPr>
          <w:rFonts w:eastAsia="Times New Roman"/>
          <w:snapToGrid w:val="0"/>
          <w:color w:val="000000"/>
          <w:sz w:val="24"/>
          <w:szCs w:val="20"/>
          <w:lang w:eastAsia="pt-BR"/>
        </w:rPr>
      </w:pPr>
      <w:r w:rsidRPr="00884911">
        <w:rPr>
          <w:rFonts w:eastAsia="Times New Roman"/>
          <w:snapToGrid w:val="0"/>
          <w:color w:val="000000"/>
          <w:sz w:val="24"/>
          <w:szCs w:val="20"/>
          <w:lang w:eastAsia="pt-BR"/>
        </w:rPr>
        <w:t>É o relatório.</w:t>
      </w:r>
    </w:p>
    <w:p w:rsidR="00884911" w:rsidRPr="00884911" w:rsidRDefault="00884911" w:rsidP="00884911">
      <w:pPr>
        <w:spacing w:before="240" w:after="240" w:line="360" w:lineRule="auto"/>
        <w:outlineLvl w:val="2"/>
        <w:rPr>
          <w:rFonts w:eastAsia="Times New Roman"/>
          <w:b/>
          <w:snapToGrid w:val="0"/>
          <w:sz w:val="28"/>
          <w:szCs w:val="20"/>
          <w:lang w:eastAsia="pt-BR"/>
        </w:rPr>
      </w:pPr>
      <w:r w:rsidRPr="00884911">
        <w:rPr>
          <w:rFonts w:eastAsia="Times New Roman"/>
          <w:b/>
          <w:bCs/>
          <w:snapToGrid w:val="0"/>
          <w:sz w:val="28"/>
          <w:szCs w:val="20"/>
          <w:lang w:eastAsia="pt-BR"/>
        </w:rPr>
        <w:t>II – VOTO DO RELATOR</w:t>
      </w:r>
    </w:p>
    <w:p w:rsidR="00884911" w:rsidRPr="00884911" w:rsidRDefault="00884911" w:rsidP="00884911">
      <w:pPr>
        <w:spacing w:afterLines="120" w:after="288" w:line="360" w:lineRule="auto"/>
        <w:ind w:firstLine="2302"/>
        <w:rPr>
          <w:rFonts w:eastAsia="Times New Roman"/>
          <w:color w:val="000000"/>
          <w:sz w:val="24"/>
          <w:szCs w:val="20"/>
          <w:lang w:eastAsia="pt-BR"/>
        </w:rPr>
      </w:pPr>
      <w:r w:rsidRPr="00884911">
        <w:rPr>
          <w:rFonts w:eastAsia="Times New Roman"/>
          <w:snapToGrid w:val="0"/>
          <w:color w:val="000000"/>
          <w:sz w:val="24"/>
          <w:szCs w:val="20"/>
          <w:lang w:eastAsia="pt-BR"/>
        </w:rPr>
        <w:t>Os novos elementos ora disponíveis justificam uma revisão do posicionamento inicialmente assumido. Procedendo, então, ao reexame da matéria, decidimos reformular o nosso parecer acatando o teor do substitutivo apresentado pelo Deputado Guilherme Campos em seu voto em separado apresentado em 22/5/2012.</w:t>
      </w:r>
    </w:p>
    <w:p w:rsidR="00884911" w:rsidRPr="00884911" w:rsidRDefault="00884911" w:rsidP="00884911">
      <w:pPr>
        <w:spacing w:afterLines="120" w:after="288" w:line="360" w:lineRule="auto"/>
        <w:ind w:firstLine="2302"/>
        <w:rPr>
          <w:rFonts w:eastAsia="Times New Roman"/>
          <w:snapToGrid w:val="0"/>
          <w:color w:val="000000"/>
          <w:sz w:val="24"/>
          <w:szCs w:val="24"/>
          <w:lang w:eastAsia="pt-BR"/>
        </w:rPr>
      </w:pPr>
      <w:r w:rsidRPr="00884911">
        <w:rPr>
          <w:rFonts w:eastAsia="Times New Roman"/>
          <w:snapToGrid w:val="0"/>
          <w:color w:val="000000"/>
          <w:sz w:val="24"/>
          <w:szCs w:val="24"/>
          <w:lang w:eastAsia="pt-BR"/>
        </w:rPr>
        <w:t xml:space="preserve">Nosso voto, no mérito, é, portanto, pela aprovação do Projeto de Lei nº 6.971, de 2010, na forma do substitutivo que segue em anexo. </w:t>
      </w:r>
    </w:p>
    <w:p w:rsidR="00884911" w:rsidRPr="00884911" w:rsidRDefault="00884911" w:rsidP="00884911">
      <w:pPr>
        <w:keepNext/>
        <w:widowControl w:val="0"/>
        <w:spacing w:before="480" w:after="1000" w:line="360" w:lineRule="auto"/>
        <w:ind w:firstLine="2302"/>
        <w:rPr>
          <w:rFonts w:eastAsia="Times New Roman"/>
          <w:snapToGrid w:val="0"/>
          <w:color w:val="000000"/>
          <w:sz w:val="24"/>
          <w:szCs w:val="20"/>
          <w:lang w:eastAsia="pt-BR"/>
        </w:rPr>
      </w:pPr>
      <w:r w:rsidRPr="00884911">
        <w:rPr>
          <w:rFonts w:eastAsia="Times New Roman"/>
          <w:snapToGrid w:val="0"/>
          <w:color w:val="000000"/>
          <w:sz w:val="24"/>
          <w:szCs w:val="20"/>
          <w:lang w:eastAsia="pt-BR"/>
        </w:rPr>
        <w:lastRenderedPageBreak/>
        <w:t xml:space="preserve">Sala da Comissão, </w:t>
      </w:r>
      <w:r>
        <w:rPr>
          <w:rFonts w:eastAsia="Times New Roman"/>
          <w:snapToGrid w:val="0"/>
          <w:color w:val="000000"/>
          <w:sz w:val="24"/>
          <w:szCs w:val="20"/>
          <w:lang w:eastAsia="pt-BR"/>
        </w:rPr>
        <w:t>em 13 de março de</w:t>
      </w:r>
      <w:r w:rsidRPr="00884911">
        <w:rPr>
          <w:rFonts w:eastAsia="Times New Roman"/>
          <w:snapToGrid w:val="0"/>
          <w:color w:val="000000"/>
          <w:sz w:val="24"/>
          <w:szCs w:val="20"/>
          <w:lang w:eastAsia="pt-BR"/>
        </w:rPr>
        <w:t xml:space="preserve"> 2013.</w:t>
      </w:r>
    </w:p>
    <w:p w:rsidR="00884911" w:rsidRPr="00884911" w:rsidRDefault="00884911" w:rsidP="00884911">
      <w:pPr>
        <w:widowControl w:val="0"/>
        <w:spacing w:line="360" w:lineRule="auto"/>
        <w:ind w:firstLine="360"/>
        <w:jc w:val="center"/>
        <w:rPr>
          <w:rFonts w:eastAsia="Times New Roman"/>
          <w:b/>
          <w:snapToGrid w:val="0"/>
          <w:color w:val="000000"/>
          <w:sz w:val="24"/>
          <w:szCs w:val="20"/>
          <w:lang w:eastAsia="pt-BR"/>
        </w:rPr>
      </w:pPr>
      <w:r w:rsidRPr="00884911">
        <w:rPr>
          <w:rFonts w:eastAsia="Times New Roman"/>
          <w:b/>
          <w:snapToGrid w:val="0"/>
          <w:color w:val="000000"/>
          <w:sz w:val="24"/>
          <w:szCs w:val="20"/>
          <w:lang w:eastAsia="pt-BR"/>
        </w:rPr>
        <w:t>Deputado EDIO LOPES (PMDB/RR)</w:t>
      </w:r>
    </w:p>
    <w:p w:rsidR="00884911" w:rsidRPr="00884911" w:rsidRDefault="00884911" w:rsidP="00884911">
      <w:pPr>
        <w:widowControl w:val="0"/>
        <w:spacing w:after="200" w:line="360" w:lineRule="auto"/>
        <w:jc w:val="center"/>
        <w:rPr>
          <w:rFonts w:eastAsia="Times New Roman"/>
          <w:snapToGrid w:val="0"/>
          <w:color w:val="000000"/>
          <w:sz w:val="24"/>
          <w:szCs w:val="20"/>
          <w:lang w:eastAsia="pt-BR"/>
        </w:rPr>
      </w:pPr>
      <w:r w:rsidRPr="00884911">
        <w:rPr>
          <w:rFonts w:eastAsia="Times New Roman"/>
          <w:snapToGrid w:val="0"/>
          <w:color w:val="000000"/>
          <w:sz w:val="24"/>
          <w:szCs w:val="20"/>
          <w:lang w:eastAsia="pt-BR"/>
        </w:rPr>
        <w:t>Relator</w:t>
      </w:r>
    </w:p>
    <w:p w:rsidR="00884911" w:rsidRPr="00884911" w:rsidRDefault="00884911" w:rsidP="00884911">
      <w:pPr>
        <w:widowControl w:val="0"/>
        <w:numPr>
          <w:ilvl w:val="3"/>
          <w:numId w:val="0"/>
        </w:numPr>
        <w:suppressAutoHyphens/>
        <w:spacing w:after="120" w:line="360" w:lineRule="exact"/>
        <w:jc w:val="center"/>
        <w:outlineLvl w:val="3"/>
        <w:rPr>
          <w:rFonts w:eastAsia="Times New Roman" w:cs="Times New Roman"/>
          <w:b/>
          <w:caps/>
          <w:snapToGrid w:val="0"/>
          <w:color w:val="000000"/>
          <w:sz w:val="28"/>
          <w:szCs w:val="20"/>
          <w:lang w:eastAsia="pt-BR"/>
        </w:rPr>
      </w:pPr>
      <w:r w:rsidRPr="00884911">
        <w:rPr>
          <w:rFonts w:eastAsia="Times New Roman" w:cs="Times New Roman"/>
          <w:b/>
          <w:caps/>
          <w:snapToGrid w:val="0"/>
          <w:color w:val="000000"/>
          <w:sz w:val="28"/>
          <w:szCs w:val="20"/>
          <w:lang w:eastAsia="pt-BR"/>
        </w:rPr>
        <w:t>SUBSTITUTIVO AO PROJETO DE LEI N. 6971, DE 2010</w:t>
      </w:r>
    </w:p>
    <w:p w:rsidR="00884911" w:rsidRPr="00884911" w:rsidRDefault="00884911" w:rsidP="00884911">
      <w:pPr>
        <w:spacing w:after="120" w:line="360" w:lineRule="exact"/>
        <w:jc w:val="center"/>
        <w:rPr>
          <w:rFonts w:eastAsia="Times New Roman"/>
          <w:b/>
          <w:snapToGrid w:val="0"/>
          <w:sz w:val="24"/>
          <w:szCs w:val="20"/>
          <w:lang w:eastAsia="pt-BR"/>
        </w:rPr>
      </w:pPr>
      <w:r w:rsidRPr="00884911">
        <w:rPr>
          <w:rFonts w:eastAsia="Times New Roman"/>
          <w:b/>
          <w:snapToGrid w:val="0"/>
          <w:sz w:val="24"/>
          <w:szCs w:val="20"/>
          <w:lang w:eastAsia="pt-BR"/>
        </w:rPr>
        <w:t>(Do Sr. Milton Monti)</w:t>
      </w:r>
    </w:p>
    <w:p w:rsidR="00884911" w:rsidRPr="00884911" w:rsidRDefault="00884911" w:rsidP="00884911">
      <w:pPr>
        <w:autoSpaceDE w:val="0"/>
        <w:autoSpaceDN w:val="0"/>
        <w:adjustRightInd w:val="0"/>
        <w:jc w:val="left"/>
        <w:rPr>
          <w:rFonts w:eastAsia="Calibri"/>
          <w:color w:val="000000"/>
          <w:sz w:val="24"/>
          <w:szCs w:val="24"/>
          <w:lang w:eastAsia="pt-BR"/>
        </w:rPr>
      </w:pPr>
    </w:p>
    <w:p w:rsidR="00884911" w:rsidRPr="00884911" w:rsidRDefault="00884911" w:rsidP="00884911">
      <w:pPr>
        <w:spacing w:line="264" w:lineRule="auto"/>
        <w:ind w:left="4395" w:firstLine="850"/>
        <w:rPr>
          <w:rFonts w:eastAsia="Times New Roman"/>
          <w:sz w:val="24"/>
          <w:szCs w:val="24"/>
          <w:lang w:eastAsia="pt-BR"/>
        </w:rPr>
      </w:pPr>
      <w:r w:rsidRPr="00884911">
        <w:rPr>
          <w:rFonts w:eastAsia="Times New Roman"/>
          <w:sz w:val="24"/>
          <w:szCs w:val="24"/>
          <w:lang w:eastAsia="pt-BR"/>
        </w:rPr>
        <w:t>Altera a redação do inciso IX do art. 6º e acrescenta o §8º ao mesmo dispositivo da Lei nº 10.826, de 22 de dezembro de 2003, que dispõe sobre o registro, posse e comercialização de armas de fogo e munição; sobre o Sistema Nacional de Armas – Sinarm; define crimes e dá outras providências.</w:t>
      </w:r>
    </w:p>
    <w:p w:rsidR="00884911" w:rsidRPr="00884911" w:rsidRDefault="00884911" w:rsidP="00884911">
      <w:pPr>
        <w:spacing w:line="264" w:lineRule="auto"/>
        <w:ind w:firstLine="425"/>
        <w:rPr>
          <w:rFonts w:eastAsia="Times New Roman"/>
          <w:sz w:val="24"/>
          <w:szCs w:val="24"/>
          <w:lang w:eastAsia="pt-BR"/>
        </w:rPr>
      </w:pPr>
    </w:p>
    <w:p w:rsidR="00884911" w:rsidRPr="00884911" w:rsidRDefault="00884911" w:rsidP="00884911">
      <w:pPr>
        <w:spacing w:line="264" w:lineRule="auto"/>
        <w:ind w:firstLine="425"/>
        <w:rPr>
          <w:rFonts w:eastAsia="Times New Roman"/>
          <w:sz w:val="24"/>
          <w:szCs w:val="24"/>
          <w:lang w:eastAsia="pt-BR"/>
        </w:rPr>
      </w:pPr>
    </w:p>
    <w:p w:rsidR="00884911" w:rsidRPr="00884911" w:rsidRDefault="00884911" w:rsidP="00884911">
      <w:pPr>
        <w:spacing w:after="120" w:line="360" w:lineRule="auto"/>
        <w:ind w:firstLine="1134"/>
        <w:rPr>
          <w:rFonts w:eastAsia="Times New Roman"/>
          <w:sz w:val="24"/>
          <w:szCs w:val="24"/>
          <w:lang w:eastAsia="pt-BR"/>
        </w:rPr>
      </w:pPr>
      <w:r w:rsidRPr="00884911">
        <w:rPr>
          <w:rFonts w:eastAsia="Times New Roman"/>
          <w:sz w:val="24"/>
          <w:szCs w:val="24"/>
          <w:lang w:eastAsia="pt-BR"/>
        </w:rPr>
        <w:t>O Congresso Nacional decreta:</w:t>
      </w:r>
    </w:p>
    <w:p w:rsidR="00884911" w:rsidRPr="00884911" w:rsidRDefault="00884911" w:rsidP="00884911">
      <w:pPr>
        <w:spacing w:after="120" w:line="360" w:lineRule="auto"/>
        <w:ind w:firstLine="1134"/>
        <w:rPr>
          <w:rFonts w:eastAsia="Times New Roman"/>
          <w:sz w:val="24"/>
          <w:szCs w:val="24"/>
          <w:lang w:eastAsia="pt-BR"/>
        </w:rPr>
      </w:pPr>
      <w:r w:rsidRPr="00884911">
        <w:rPr>
          <w:rFonts w:eastAsia="Times New Roman"/>
          <w:sz w:val="24"/>
          <w:szCs w:val="24"/>
          <w:lang w:eastAsia="pt-BR"/>
        </w:rPr>
        <w:t>Art. 1º O art. 6º, inciso IX, da Lei nº 10.826, de 22 de dezembro de 2003, passa a vigorar com a seguinte redação:</w:t>
      </w:r>
    </w:p>
    <w:p w:rsidR="00884911" w:rsidRPr="00884911" w:rsidRDefault="00884911" w:rsidP="00884911">
      <w:pPr>
        <w:spacing w:after="120" w:line="360" w:lineRule="auto"/>
        <w:ind w:left="1843"/>
        <w:rPr>
          <w:rFonts w:eastAsia="Times New Roman"/>
          <w:sz w:val="24"/>
          <w:szCs w:val="24"/>
          <w:lang w:eastAsia="pt-BR"/>
        </w:rPr>
      </w:pPr>
      <w:r w:rsidRPr="00884911">
        <w:rPr>
          <w:rFonts w:eastAsia="Times New Roman"/>
          <w:sz w:val="24"/>
          <w:szCs w:val="24"/>
          <w:lang w:eastAsia="pt-BR"/>
        </w:rPr>
        <w:t>“Art. 6º ...................................................................................</w:t>
      </w:r>
    </w:p>
    <w:p w:rsidR="00884911" w:rsidRPr="00884911" w:rsidRDefault="00884911" w:rsidP="00884911">
      <w:pPr>
        <w:spacing w:after="120" w:line="360" w:lineRule="auto"/>
        <w:ind w:left="1843"/>
        <w:rPr>
          <w:rFonts w:eastAsia="Times New Roman"/>
          <w:sz w:val="24"/>
          <w:szCs w:val="24"/>
          <w:lang w:eastAsia="pt-BR"/>
        </w:rPr>
      </w:pPr>
      <w:r w:rsidRPr="00884911">
        <w:rPr>
          <w:rFonts w:eastAsia="Times New Roman"/>
          <w:sz w:val="24"/>
          <w:szCs w:val="24"/>
          <w:lang w:eastAsia="pt-BR"/>
        </w:rPr>
        <w:t>...............................................................................................</w:t>
      </w:r>
    </w:p>
    <w:p w:rsidR="00884911" w:rsidRPr="00884911" w:rsidRDefault="00884911" w:rsidP="00884911">
      <w:pPr>
        <w:spacing w:after="120" w:line="360" w:lineRule="auto"/>
        <w:ind w:left="1843"/>
        <w:rPr>
          <w:rFonts w:eastAsia="Times New Roman"/>
          <w:sz w:val="24"/>
          <w:szCs w:val="24"/>
          <w:lang w:eastAsia="pt-BR"/>
        </w:rPr>
      </w:pPr>
      <w:r w:rsidRPr="00884911">
        <w:rPr>
          <w:rFonts w:eastAsia="Times New Roman"/>
          <w:sz w:val="24"/>
          <w:szCs w:val="24"/>
          <w:lang w:eastAsia="pt-BR"/>
        </w:rPr>
        <w:t>IX – os colecionadores, atiradores desportivos e caçadores regularmente registrados no Exército Brasileiro.</w:t>
      </w:r>
    </w:p>
    <w:p w:rsidR="00884911" w:rsidRPr="00884911" w:rsidRDefault="00884911" w:rsidP="00884911">
      <w:pPr>
        <w:spacing w:after="120" w:line="360" w:lineRule="auto"/>
        <w:ind w:left="1843"/>
        <w:rPr>
          <w:rFonts w:eastAsia="Times New Roman"/>
          <w:sz w:val="24"/>
          <w:szCs w:val="24"/>
          <w:lang w:eastAsia="pt-BR"/>
        </w:rPr>
      </w:pPr>
      <w:r w:rsidRPr="00884911">
        <w:rPr>
          <w:rFonts w:eastAsia="Times New Roman"/>
          <w:sz w:val="24"/>
          <w:szCs w:val="24"/>
          <w:lang w:eastAsia="pt-BR"/>
        </w:rPr>
        <w:t>........................................................................................” (NR)</w:t>
      </w:r>
    </w:p>
    <w:p w:rsidR="00884911" w:rsidRPr="00884911" w:rsidRDefault="00884911" w:rsidP="00884911">
      <w:pPr>
        <w:spacing w:after="120" w:line="360" w:lineRule="auto"/>
        <w:ind w:firstLine="1134"/>
        <w:rPr>
          <w:rFonts w:eastAsia="Times New Roman"/>
          <w:sz w:val="24"/>
          <w:szCs w:val="24"/>
          <w:lang w:eastAsia="pt-BR"/>
        </w:rPr>
      </w:pPr>
      <w:r w:rsidRPr="00884911">
        <w:rPr>
          <w:rFonts w:eastAsia="Times New Roman"/>
          <w:sz w:val="24"/>
          <w:szCs w:val="24"/>
          <w:lang w:eastAsia="pt-BR"/>
        </w:rPr>
        <w:t>Art. 2º O art. 6º, da Lei nº 10.826, de 22 de dezembro de 2003, passa a vigorar acrescido do seguinte dispositivo:</w:t>
      </w:r>
    </w:p>
    <w:p w:rsidR="00884911" w:rsidRPr="00884911" w:rsidRDefault="00884911" w:rsidP="00884911">
      <w:pPr>
        <w:spacing w:after="120" w:line="360" w:lineRule="auto"/>
        <w:ind w:left="1843"/>
        <w:rPr>
          <w:rFonts w:eastAsia="Times New Roman"/>
          <w:sz w:val="24"/>
          <w:szCs w:val="24"/>
          <w:lang w:eastAsia="pt-BR"/>
        </w:rPr>
      </w:pPr>
      <w:r w:rsidRPr="00884911">
        <w:rPr>
          <w:rFonts w:eastAsia="Times New Roman"/>
          <w:sz w:val="24"/>
          <w:szCs w:val="24"/>
          <w:lang w:eastAsia="pt-BR"/>
        </w:rPr>
        <w:t>“Art. 6º ...................................................................................</w:t>
      </w:r>
    </w:p>
    <w:p w:rsidR="00884911" w:rsidRPr="00884911" w:rsidRDefault="00884911" w:rsidP="00884911">
      <w:pPr>
        <w:spacing w:after="120" w:line="360" w:lineRule="auto"/>
        <w:ind w:left="1843"/>
        <w:rPr>
          <w:rFonts w:eastAsia="Times New Roman"/>
          <w:sz w:val="24"/>
          <w:szCs w:val="24"/>
          <w:lang w:eastAsia="pt-BR"/>
        </w:rPr>
      </w:pPr>
      <w:r w:rsidRPr="00884911">
        <w:rPr>
          <w:rFonts w:eastAsia="Times New Roman"/>
          <w:sz w:val="24"/>
          <w:szCs w:val="24"/>
          <w:lang w:eastAsia="pt-BR"/>
        </w:rPr>
        <w:t>...............................................................................................</w:t>
      </w:r>
    </w:p>
    <w:p w:rsidR="00884911" w:rsidRPr="00884911" w:rsidRDefault="00884911" w:rsidP="00884911">
      <w:pPr>
        <w:spacing w:after="120" w:line="360" w:lineRule="auto"/>
        <w:ind w:left="1843"/>
        <w:rPr>
          <w:rFonts w:eastAsia="Times New Roman"/>
          <w:sz w:val="24"/>
          <w:szCs w:val="24"/>
          <w:lang w:eastAsia="pt-BR"/>
        </w:rPr>
      </w:pPr>
      <w:r w:rsidRPr="00884911">
        <w:rPr>
          <w:rFonts w:eastAsia="Times New Roman"/>
          <w:sz w:val="24"/>
          <w:szCs w:val="24"/>
          <w:lang w:eastAsia="pt-BR"/>
        </w:rPr>
        <w:t xml:space="preserve">§8º O exercício do porte de arma previsto no inciso IX deste artigo se dará mediante comprovação do registro do portador perante o Exército Brasileiro e da inclusão da arma em seu acervo, sendo </w:t>
      </w:r>
      <w:r w:rsidRPr="00884911">
        <w:rPr>
          <w:rFonts w:eastAsia="Times New Roman"/>
          <w:sz w:val="24"/>
          <w:szCs w:val="24"/>
          <w:lang w:eastAsia="pt-BR"/>
        </w:rPr>
        <w:lastRenderedPageBreak/>
        <w:t>válido apenas para armas de fogo classificadas como de uso permitido.” (NR)</w:t>
      </w:r>
    </w:p>
    <w:p w:rsidR="00884911" w:rsidRPr="00884911" w:rsidRDefault="00884911" w:rsidP="00884911">
      <w:pPr>
        <w:autoSpaceDE w:val="0"/>
        <w:autoSpaceDN w:val="0"/>
        <w:adjustRightInd w:val="0"/>
        <w:spacing w:after="120" w:line="360" w:lineRule="auto"/>
        <w:ind w:firstLine="1134"/>
        <w:rPr>
          <w:rFonts w:eastAsia="Times New Roman"/>
          <w:sz w:val="24"/>
          <w:szCs w:val="24"/>
          <w:lang w:eastAsia="pt-BR"/>
        </w:rPr>
      </w:pPr>
      <w:r w:rsidRPr="00884911">
        <w:rPr>
          <w:rFonts w:eastAsia="Times New Roman"/>
          <w:sz w:val="24"/>
          <w:szCs w:val="24"/>
          <w:lang w:eastAsia="pt-BR"/>
        </w:rPr>
        <w:t>Art. 3º Esta lei entra em vigor na data de sua publicação.</w:t>
      </w:r>
    </w:p>
    <w:p w:rsidR="00884911" w:rsidRPr="00884911" w:rsidRDefault="00884911" w:rsidP="00884911">
      <w:pPr>
        <w:autoSpaceDE w:val="0"/>
        <w:autoSpaceDN w:val="0"/>
        <w:adjustRightInd w:val="0"/>
        <w:spacing w:after="120" w:line="360" w:lineRule="auto"/>
        <w:ind w:firstLine="1134"/>
        <w:rPr>
          <w:rFonts w:eastAsia="Times New Roman"/>
          <w:sz w:val="24"/>
          <w:szCs w:val="24"/>
          <w:lang w:eastAsia="pt-BR"/>
        </w:rPr>
      </w:pPr>
    </w:p>
    <w:p w:rsidR="00884911" w:rsidRPr="00884911" w:rsidRDefault="00884911" w:rsidP="00884911">
      <w:pPr>
        <w:autoSpaceDE w:val="0"/>
        <w:autoSpaceDN w:val="0"/>
        <w:adjustRightInd w:val="0"/>
        <w:spacing w:after="240" w:line="360" w:lineRule="auto"/>
        <w:ind w:firstLine="1134"/>
        <w:rPr>
          <w:rFonts w:eastAsia="Times New Roman"/>
          <w:sz w:val="24"/>
          <w:szCs w:val="24"/>
          <w:lang w:eastAsia="pt-BR"/>
        </w:rPr>
      </w:pPr>
      <w:r w:rsidRPr="00884911">
        <w:rPr>
          <w:rFonts w:eastAsia="Times New Roman"/>
          <w:sz w:val="24"/>
          <w:szCs w:val="24"/>
          <w:lang w:eastAsia="pt-BR"/>
        </w:rPr>
        <w:t xml:space="preserve">Sala da Comissão, </w:t>
      </w:r>
      <w:r>
        <w:rPr>
          <w:rFonts w:eastAsia="Times New Roman"/>
          <w:sz w:val="24"/>
          <w:szCs w:val="24"/>
          <w:lang w:eastAsia="pt-BR"/>
        </w:rPr>
        <w:t>em 13 de março de</w:t>
      </w:r>
      <w:r w:rsidRPr="00884911">
        <w:rPr>
          <w:rFonts w:eastAsia="Times New Roman"/>
          <w:sz w:val="24"/>
          <w:szCs w:val="24"/>
          <w:lang w:eastAsia="pt-BR"/>
        </w:rPr>
        <w:t xml:space="preserve"> 2013.</w:t>
      </w:r>
    </w:p>
    <w:p w:rsidR="00884911" w:rsidRPr="00884911" w:rsidRDefault="00884911" w:rsidP="00884911">
      <w:pPr>
        <w:autoSpaceDE w:val="0"/>
        <w:autoSpaceDN w:val="0"/>
        <w:adjustRightInd w:val="0"/>
        <w:spacing w:after="240" w:line="360" w:lineRule="exact"/>
        <w:ind w:left="708" w:firstLine="708"/>
        <w:rPr>
          <w:rFonts w:eastAsia="Times New Roman"/>
          <w:sz w:val="24"/>
          <w:szCs w:val="24"/>
          <w:lang w:eastAsia="pt-BR"/>
        </w:rPr>
      </w:pPr>
    </w:p>
    <w:p w:rsidR="00884911" w:rsidRPr="00884911" w:rsidRDefault="00884911" w:rsidP="00884911">
      <w:pPr>
        <w:autoSpaceDE w:val="0"/>
        <w:autoSpaceDN w:val="0"/>
        <w:adjustRightInd w:val="0"/>
        <w:jc w:val="center"/>
        <w:rPr>
          <w:rFonts w:eastAsia="Times New Roman"/>
          <w:b/>
          <w:bCs/>
          <w:sz w:val="24"/>
          <w:szCs w:val="24"/>
          <w:lang w:eastAsia="pt-BR"/>
        </w:rPr>
      </w:pPr>
      <w:r w:rsidRPr="00884911">
        <w:rPr>
          <w:rFonts w:eastAsia="Times New Roman"/>
          <w:b/>
          <w:bCs/>
          <w:sz w:val="24"/>
          <w:szCs w:val="24"/>
          <w:lang w:eastAsia="pt-BR"/>
        </w:rPr>
        <w:t>Deputado EDIO LOPES (PMDB/RR)</w:t>
      </w:r>
    </w:p>
    <w:p w:rsidR="00884911" w:rsidRPr="00884911" w:rsidRDefault="00884911" w:rsidP="00884911">
      <w:pPr>
        <w:autoSpaceDE w:val="0"/>
        <w:autoSpaceDN w:val="0"/>
        <w:adjustRightInd w:val="0"/>
        <w:spacing w:after="240"/>
        <w:jc w:val="center"/>
        <w:rPr>
          <w:rFonts w:eastAsia="Times New Roman" w:cs="Times New Roman"/>
          <w:snapToGrid w:val="0"/>
          <w:color w:val="000000"/>
          <w:sz w:val="24"/>
          <w:szCs w:val="20"/>
          <w:lang w:eastAsia="pt-BR"/>
        </w:rPr>
      </w:pPr>
      <w:r w:rsidRPr="00884911">
        <w:rPr>
          <w:rFonts w:eastAsia="Times New Roman"/>
          <w:bCs/>
          <w:snapToGrid w:val="0"/>
          <w:color w:val="000000"/>
          <w:sz w:val="24"/>
          <w:szCs w:val="24"/>
          <w:lang w:eastAsia="pt-BR"/>
        </w:rPr>
        <w:t>Relator</w:t>
      </w:r>
    </w:p>
    <w:p w:rsidR="0045775B" w:rsidRPr="0045775B" w:rsidRDefault="0045775B" w:rsidP="0045775B">
      <w:pPr>
        <w:spacing w:before="100" w:beforeAutospacing="1" w:after="100" w:afterAutospacing="1"/>
        <w:jc w:val="center"/>
        <w:rPr>
          <w:rFonts w:eastAsia="Times New Roman"/>
          <w:sz w:val="24"/>
          <w:szCs w:val="24"/>
          <w:lang w:eastAsia="pt-BR"/>
        </w:rPr>
      </w:pPr>
      <w:r w:rsidRPr="0045775B">
        <w:rPr>
          <w:rFonts w:eastAsia="Times New Roman"/>
          <w:b/>
          <w:bCs/>
          <w:sz w:val="24"/>
          <w:szCs w:val="24"/>
          <w:lang w:eastAsia="pt-BR"/>
        </w:rPr>
        <w:t xml:space="preserve">III - PARECER DA COMISSÃO </w:t>
      </w:r>
    </w:p>
    <w:p w:rsidR="00884911" w:rsidRPr="0045775B" w:rsidRDefault="00884911" w:rsidP="0045775B">
      <w:pPr>
        <w:spacing w:before="100" w:beforeAutospacing="1" w:after="100" w:afterAutospacing="1"/>
        <w:ind w:firstLine="1637"/>
        <w:rPr>
          <w:rFonts w:eastAsia="Times New Roman"/>
          <w:sz w:val="24"/>
          <w:szCs w:val="24"/>
          <w:lang w:eastAsia="pt-BR"/>
        </w:rPr>
      </w:pPr>
      <w:r w:rsidRPr="0045775B">
        <w:rPr>
          <w:rFonts w:eastAsia="Times New Roman"/>
          <w:sz w:val="24"/>
          <w:szCs w:val="24"/>
          <w:lang w:eastAsia="pt-BR"/>
        </w:rPr>
        <w:t xml:space="preserve">A Comissão de Segurança Pública e Combate ao Crime Organizado, em reunião ordinária realizada hoje, aprovou, com substitutivo, o Projeto de Lei nº 6.971/2010, nos termos do Parecer do Relator, Deputado Edio Lopes, que apresentou complementação de voto. Os Deputados Guilherme Campos e Onyx Lorenzoni apresentaram voto em separado. </w:t>
      </w:r>
    </w:p>
    <w:p w:rsidR="00884911" w:rsidRPr="0045775B" w:rsidRDefault="00884911" w:rsidP="0045775B">
      <w:pPr>
        <w:spacing w:before="100" w:beforeAutospacing="1" w:after="100" w:afterAutospacing="1"/>
        <w:ind w:firstLine="1637"/>
        <w:rPr>
          <w:rFonts w:eastAsia="Times New Roman"/>
          <w:sz w:val="24"/>
          <w:szCs w:val="24"/>
          <w:lang w:eastAsia="pt-BR"/>
        </w:rPr>
      </w:pPr>
      <w:r w:rsidRPr="0045775B">
        <w:rPr>
          <w:rFonts w:eastAsia="Times New Roman"/>
          <w:sz w:val="24"/>
          <w:szCs w:val="24"/>
          <w:lang w:eastAsia="pt-BR"/>
        </w:rPr>
        <w:t>Estiveram presentes os Senhores Deputados:</w:t>
      </w:r>
    </w:p>
    <w:p w:rsidR="00884911" w:rsidRPr="0045775B" w:rsidRDefault="00884911" w:rsidP="0045775B">
      <w:pPr>
        <w:spacing w:before="100" w:beforeAutospacing="1" w:after="100" w:afterAutospacing="1"/>
        <w:ind w:firstLine="1637"/>
        <w:rPr>
          <w:rFonts w:eastAsia="Times New Roman"/>
          <w:sz w:val="24"/>
          <w:szCs w:val="24"/>
          <w:lang w:eastAsia="pt-BR"/>
        </w:rPr>
      </w:pPr>
      <w:r w:rsidRPr="0045775B">
        <w:rPr>
          <w:rFonts w:eastAsia="Times New Roman"/>
          <w:sz w:val="24"/>
          <w:szCs w:val="24"/>
          <w:lang w:eastAsia="pt-BR"/>
        </w:rPr>
        <w:t xml:space="preserve">Otavio Leite - Presidente; João Campos - Vice-Presidente; Efraim Filho, Enio Bacci, Fernando Francischini, Guilherme Campos, Hugo Leal, José Augusto Maia, Junji Abe, Keiko Ota, Lourival Mendes, Paulo Freire e Pinto Itamaraty - Titulares; Amauri Teixeira, Edio Lopes e Ricardo Berzoini - Suplentes. </w:t>
      </w:r>
    </w:p>
    <w:p w:rsidR="00884911" w:rsidRPr="0045775B" w:rsidRDefault="00884911" w:rsidP="0045775B">
      <w:pPr>
        <w:spacing w:before="100" w:beforeAutospacing="1" w:after="100" w:afterAutospacing="1"/>
        <w:jc w:val="center"/>
        <w:rPr>
          <w:rFonts w:eastAsia="Times New Roman"/>
          <w:sz w:val="24"/>
          <w:szCs w:val="24"/>
          <w:lang w:eastAsia="pt-BR"/>
        </w:rPr>
      </w:pPr>
      <w:r w:rsidRPr="0045775B">
        <w:rPr>
          <w:rFonts w:eastAsia="Times New Roman"/>
          <w:sz w:val="24"/>
          <w:szCs w:val="24"/>
          <w:lang w:eastAsia="pt-BR"/>
        </w:rPr>
        <w:t>Sala da Comissão, em 12 de junho de 2013.</w:t>
      </w:r>
    </w:p>
    <w:p w:rsidR="00884911" w:rsidRPr="0045775B" w:rsidRDefault="00884911" w:rsidP="0045775B">
      <w:pPr>
        <w:jc w:val="center"/>
        <w:rPr>
          <w:rFonts w:eastAsia="Times New Roman"/>
          <w:sz w:val="24"/>
          <w:szCs w:val="24"/>
          <w:lang w:eastAsia="pt-BR"/>
        </w:rPr>
      </w:pPr>
    </w:p>
    <w:p w:rsidR="00884911" w:rsidRPr="0045775B" w:rsidRDefault="00884911" w:rsidP="0045775B">
      <w:pPr>
        <w:spacing w:before="100" w:beforeAutospacing="1" w:after="100" w:afterAutospacing="1"/>
        <w:jc w:val="center"/>
        <w:rPr>
          <w:rFonts w:eastAsia="Times New Roman"/>
          <w:sz w:val="24"/>
          <w:szCs w:val="24"/>
          <w:lang w:eastAsia="pt-BR"/>
        </w:rPr>
      </w:pPr>
      <w:r w:rsidRPr="0045775B">
        <w:rPr>
          <w:rFonts w:eastAsia="Times New Roman"/>
          <w:sz w:val="24"/>
          <w:szCs w:val="24"/>
          <w:lang w:eastAsia="pt-BR"/>
        </w:rPr>
        <w:t xml:space="preserve">Deputado OTAVIO LEITE </w:t>
      </w:r>
      <w:r w:rsidRPr="0045775B">
        <w:rPr>
          <w:rFonts w:eastAsia="Times New Roman"/>
          <w:sz w:val="24"/>
          <w:szCs w:val="24"/>
          <w:lang w:eastAsia="pt-BR"/>
        </w:rPr>
        <w:br/>
        <w:t>Presidente</w:t>
      </w:r>
    </w:p>
    <w:p w:rsidR="0045775B" w:rsidRPr="0045775B" w:rsidRDefault="0045775B" w:rsidP="0045775B">
      <w:pPr>
        <w:spacing w:after="120"/>
        <w:ind w:left="4245"/>
        <w:jc w:val="left"/>
        <w:rPr>
          <w:rFonts w:ascii="Times New Roman" w:eastAsia="Times New Roman" w:hAnsi="Times New Roman" w:cs="Times New Roman"/>
          <w:sz w:val="16"/>
          <w:szCs w:val="16"/>
          <w:lang w:eastAsia="pt-BR"/>
        </w:rPr>
      </w:pPr>
    </w:p>
    <w:p w:rsidR="0045775B" w:rsidRPr="0045775B" w:rsidRDefault="0045775B" w:rsidP="0045775B">
      <w:pPr>
        <w:spacing w:after="120"/>
        <w:ind w:firstLine="708"/>
        <w:jc w:val="center"/>
        <w:rPr>
          <w:rFonts w:eastAsia="Times New Roman"/>
          <w:b/>
          <w:sz w:val="24"/>
          <w:szCs w:val="24"/>
          <w:lang w:eastAsia="pt-BR"/>
        </w:rPr>
      </w:pPr>
      <w:r w:rsidRPr="0045775B">
        <w:rPr>
          <w:rFonts w:eastAsia="Times New Roman"/>
          <w:b/>
          <w:sz w:val="24"/>
          <w:szCs w:val="24"/>
          <w:lang w:eastAsia="pt-BR"/>
        </w:rPr>
        <w:t>VOTO EM SEPARADO DO DEPUTADO ONYX LORENZONI</w:t>
      </w:r>
    </w:p>
    <w:p w:rsidR="0045775B" w:rsidRPr="0045775B" w:rsidRDefault="0045775B" w:rsidP="0045775B">
      <w:pPr>
        <w:jc w:val="left"/>
        <w:rPr>
          <w:rFonts w:eastAsia="Times New Roman"/>
          <w:b/>
          <w:sz w:val="24"/>
          <w:szCs w:val="24"/>
          <w:lang w:eastAsia="pt-BR"/>
        </w:rPr>
      </w:pPr>
      <w:r w:rsidRPr="0045775B">
        <w:rPr>
          <w:rFonts w:eastAsia="Times New Roman"/>
          <w:b/>
          <w:sz w:val="24"/>
          <w:szCs w:val="24"/>
          <w:lang w:eastAsia="pt-BR"/>
        </w:rPr>
        <w:t>I - RELATÓRIO</w:t>
      </w:r>
    </w:p>
    <w:p w:rsidR="0045775B" w:rsidRPr="0045775B" w:rsidRDefault="0045775B" w:rsidP="0045775B">
      <w:pPr>
        <w:jc w:val="left"/>
        <w:rPr>
          <w:rFonts w:eastAsia="Times New Roman"/>
          <w:sz w:val="24"/>
          <w:szCs w:val="24"/>
          <w:lang w:eastAsia="pt-BR"/>
        </w:rPr>
      </w:pPr>
    </w:p>
    <w:p w:rsidR="0045775B" w:rsidRPr="0045775B" w:rsidRDefault="0045775B" w:rsidP="0045775B">
      <w:pPr>
        <w:spacing w:line="360" w:lineRule="auto"/>
        <w:ind w:left="709" w:firstLine="707"/>
        <w:rPr>
          <w:rFonts w:eastAsia="Times New Roman"/>
          <w:sz w:val="24"/>
          <w:szCs w:val="24"/>
          <w:lang w:eastAsia="pt-BR"/>
        </w:rPr>
      </w:pPr>
      <w:r w:rsidRPr="0045775B">
        <w:rPr>
          <w:rFonts w:eastAsia="Times New Roman"/>
          <w:sz w:val="24"/>
          <w:szCs w:val="24"/>
          <w:lang w:eastAsia="pt-BR"/>
        </w:rPr>
        <w:t>Versa o presente projeto de Lei sobre a Alteração da Lei nº 10.826 de 22 dezembro de 2003 – estatuto do Desarmamento, objetivando permitir o porte de arma aos colecionadores e atiradores.</w:t>
      </w:r>
    </w:p>
    <w:p w:rsidR="0045775B" w:rsidRPr="0045775B" w:rsidRDefault="0045775B" w:rsidP="0045775B">
      <w:pPr>
        <w:spacing w:line="360" w:lineRule="auto"/>
        <w:ind w:left="1416" w:firstLine="708"/>
        <w:jc w:val="left"/>
        <w:rPr>
          <w:rFonts w:eastAsia="Times New Roman"/>
          <w:sz w:val="24"/>
          <w:szCs w:val="24"/>
          <w:lang w:eastAsia="pt-BR"/>
        </w:rPr>
      </w:pPr>
    </w:p>
    <w:p w:rsidR="0045775B" w:rsidRPr="0045775B" w:rsidRDefault="0045775B" w:rsidP="0045775B">
      <w:pPr>
        <w:spacing w:line="360" w:lineRule="auto"/>
        <w:ind w:left="709" w:firstLine="707"/>
        <w:rPr>
          <w:rFonts w:eastAsia="Times New Roman"/>
          <w:sz w:val="24"/>
          <w:szCs w:val="24"/>
          <w:lang w:eastAsia="pt-BR"/>
        </w:rPr>
      </w:pPr>
      <w:r w:rsidRPr="0045775B">
        <w:rPr>
          <w:rFonts w:eastAsia="Times New Roman"/>
          <w:sz w:val="24"/>
          <w:szCs w:val="24"/>
          <w:lang w:eastAsia="pt-BR"/>
        </w:rPr>
        <w:t xml:space="preserve">Apresentada em 16/03/2010, em 24/03/2010 a proposição foi distribuída às Comissões de Segurança Pública e Combate ao Crime </w:t>
      </w:r>
      <w:r w:rsidRPr="0045775B">
        <w:rPr>
          <w:rFonts w:eastAsia="Times New Roman"/>
          <w:sz w:val="24"/>
          <w:szCs w:val="24"/>
          <w:lang w:eastAsia="pt-BR"/>
        </w:rPr>
        <w:lastRenderedPageBreak/>
        <w:t>Organizado (CSPCCO) e de Constituição e de justiça e de cidadania, sujeita a apreciação conclusiva, em regime de tramitação ordinária.</w:t>
      </w:r>
    </w:p>
    <w:p w:rsidR="0045775B" w:rsidRPr="0045775B" w:rsidRDefault="0045775B" w:rsidP="0045775B">
      <w:pPr>
        <w:spacing w:line="360" w:lineRule="auto"/>
        <w:ind w:left="1416" w:firstLine="708"/>
        <w:jc w:val="left"/>
        <w:rPr>
          <w:rFonts w:eastAsia="Times New Roman"/>
          <w:sz w:val="24"/>
          <w:szCs w:val="24"/>
          <w:lang w:eastAsia="pt-BR"/>
        </w:rPr>
      </w:pPr>
      <w:r w:rsidRPr="0045775B">
        <w:rPr>
          <w:rFonts w:eastAsia="Times New Roman"/>
          <w:sz w:val="24"/>
          <w:szCs w:val="24"/>
          <w:lang w:eastAsia="pt-BR"/>
        </w:rPr>
        <w:t>É o relatório.</w:t>
      </w:r>
    </w:p>
    <w:p w:rsidR="0045775B" w:rsidRPr="0045775B" w:rsidRDefault="0045775B" w:rsidP="0045775B">
      <w:pPr>
        <w:keepNext/>
        <w:spacing w:line="360" w:lineRule="auto"/>
        <w:jc w:val="left"/>
        <w:outlineLvl w:val="0"/>
        <w:rPr>
          <w:rFonts w:eastAsia="Times New Roman"/>
          <w:b/>
          <w:sz w:val="24"/>
          <w:szCs w:val="24"/>
          <w:lang w:eastAsia="pt-BR"/>
        </w:rPr>
      </w:pPr>
      <w:r w:rsidRPr="0045775B">
        <w:rPr>
          <w:rFonts w:eastAsia="Times New Roman"/>
          <w:b/>
          <w:sz w:val="24"/>
          <w:szCs w:val="24"/>
          <w:lang w:eastAsia="pt-BR"/>
        </w:rPr>
        <w:t xml:space="preserve">II- </w:t>
      </w:r>
      <w:r w:rsidRPr="0045775B">
        <w:rPr>
          <w:rFonts w:eastAsia="Times New Roman"/>
          <w:b/>
          <w:sz w:val="24"/>
          <w:szCs w:val="24"/>
          <w:lang w:eastAsia="pt-BR"/>
        </w:rPr>
        <w:tab/>
        <w:t>VOTO</w:t>
      </w:r>
    </w:p>
    <w:p w:rsidR="0045775B" w:rsidRPr="0045775B" w:rsidRDefault="0045775B" w:rsidP="0045775B">
      <w:pPr>
        <w:spacing w:line="360" w:lineRule="auto"/>
        <w:rPr>
          <w:rFonts w:eastAsia="Times New Roman"/>
          <w:sz w:val="24"/>
          <w:szCs w:val="24"/>
          <w:lang w:eastAsia="pt-BR"/>
        </w:rPr>
      </w:pPr>
      <w:r w:rsidRPr="0045775B">
        <w:rPr>
          <w:rFonts w:eastAsia="Times New Roman"/>
          <w:sz w:val="24"/>
          <w:szCs w:val="24"/>
          <w:lang w:eastAsia="pt-BR"/>
        </w:rPr>
        <w:tab/>
      </w:r>
      <w:r w:rsidRPr="0045775B">
        <w:rPr>
          <w:rFonts w:eastAsia="Times New Roman"/>
          <w:sz w:val="24"/>
          <w:szCs w:val="24"/>
          <w:lang w:eastAsia="pt-BR"/>
        </w:rPr>
        <w:tab/>
        <w:t>Somos pela aprovação do referido Projeto de Lei, por entender que as armas dos colecionadores e atiradores não oferecem perigo a sociedade.</w:t>
      </w:r>
    </w:p>
    <w:p w:rsidR="0045775B" w:rsidRPr="0045775B" w:rsidRDefault="0045775B" w:rsidP="0045775B">
      <w:pPr>
        <w:spacing w:line="360" w:lineRule="auto"/>
        <w:rPr>
          <w:rFonts w:eastAsia="Times New Roman"/>
          <w:sz w:val="24"/>
          <w:szCs w:val="24"/>
          <w:lang w:eastAsia="pt-BR"/>
        </w:rPr>
      </w:pPr>
      <w:r w:rsidRPr="0045775B">
        <w:rPr>
          <w:rFonts w:eastAsia="Times New Roman"/>
          <w:sz w:val="24"/>
          <w:szCs w:val="24"/>
          <w:lang w:eastAsia="pt-BR"/>
        </w:rPr>
        <w:tab/>
      </w:r>
      <w:r w:rsidRPr="0045775B">
        <w:rPr>
          <w:rFonts w:eastAsia="Times New Roman"/>
          <w:sz w:val="24"/>
          <w:szCs w:val="24"/>
          <w:lang w:eastAsia="pt-BR"/>
        </w:rPr>
        <w:tab/>
        <w:t>Essas categorias são submetidas a um controle rígido, os atiradores desportistas e colecionadores tem que ter certidões negativas e comprovar que possuem capacidade técnica e psicológica para portar armas. Eles tem que ter residência e ocupação fixas, e eventualmente, receber prepostos do Exercito, que verificam as condições de guarda e armazenagem das armas.</w:t>
      </w:r>
    </w:p>
    <w:p w:rsidR="0045775B" w:rsidRPr="0045775B" w:rsidRDefault="0045775B" w:rsidP="0045775B">
      <w:pPr>
        <w:spacing w:line="360" w:lineRule="auto"/>
        <w:rPr>
          <w:rFonts w:eastAsia="Times New Roman"/>
          <w:sz w:val="24"/>
          <w:szCs w:val="24"/>
          <w:lang w:eastAsia="pt-BR"/>
        </w:rPr>
      </w:pPr>
      <w:r w:rsidRPr="0045775B">
        <w:rPr>
          <w:rFonts w:eastAsia="Times New Roman"/>
          <w:sz w:val="24"/>
          <w:szCs w:val="24"/>
          <w:lang w:eastAsia="pt-BR"/>
        </w:rPr>
        <w:tab/>
      </w:r>
      <w:r w:rsidRPr="0045775B">
        <w:rPr>
          <w:rFonts w:eastAsia="Times New Roman"/>
          <w:sz w:val="24"/>
          <w:szCs w:val="24"/>
          <w:lang w:eastAsia="pt-BR"/>
        </w:rPr>
        <w:tab/>
        <w:t>Nas vistorias realizadas pelo Exercito, além das condições de guarda do armamento, o colecionador ainda tem que apresentar todas as armas registradas em seu nome, o resultado verdadeiro é que não há registros efetivos sobre o desvio de armas de colecionadores para criminosos.</w:t>
      </w:r>
    </w:p>
    <w:p w:rsidR="0045775B" w:rsidRPr="0045775B" w:rsidRDefault="0045775B" w:rsidP="0045775B">
      <w:pPr>
        <w:spacing w:line="360" w:lineRule="auto"/>
        <w:rPr>
          <w:rFonts w:eastAsia="Times New Roman"/>
          <w:sz w:val="24"/>
          <w:szCs w:val="24"/>
          <w:lang w:eastAsia="pt-BR"/>
        </w:rPr>
      </w:pPr>
      <w:r w:rsidRPr="0045775B">
        <w:rPr>
          <w:rFonts w:eastAsia="Times New Roman"/>
          <w:sz w:val="24"/>
          <w:szCs w:val="24"/>
          <w:lang w:eastAsia="pt-BR"/>
        </w:rPr>
        <w:tab/>
      </w:r>
      <w:r w:rsidRPr="0045775B">
        <w:rPr>
          <w:rFonts w:eastAsia="Times New Roman"/>
          <w:sz w:val="24"/>
          <w:szCs w:val="24"/>
          <w:lang w:eastAsia="pt-BR"/>
        </w:rPr>
        <w:tab/>
        <w:t>Conforme o estatuto Global de Homicídios da ONU, não há comprovação de que sociedades desarmadas sejam mais pacíficas.</w:t>
      </w:r>
    </w:p>
    <w:p w:rsidR="0045775B" w:rsidRPr="0045775B" w:rsidRDefault="0045775B" w:rsidP="0045775B">
      <w:pPr>
        <w:spacing w:line="360" w:lineRule="auto"/>
        <w:rPr>
          <w:rFonts w:eastAsia="Times New Roman"/>
          <w:sz w:val="24"/>
          <w:szCs w:val="24"/>
          <w:lang w:eastAsia="pt-BR"/>
        </w:rPr>
      </w:pPr>
      <w:r w:rsidRPr="0045775B">
        <w:rPr>
          <w:rFonts w:eastAsia="Times New Roman"/>
          <w:sz w:val="24"/>
          <w:szCs w:val="24"/>
          <w:lang w:eastAsia="pt-BR"/>
        </w:rPr>
        <w:tab/>
        <w:t xml:space="preserve"> </w:t>
      </w:r>
      <w:r w:rsidRPr="0045775B">
        <w:rPr>
          <w:rFonts w:eastAsia="Times New Roman"/>
          <w:sz w:val="24"/>
          <w:szCs w:val="24"/>
          <w:lang w:eastAsia="pt-BR"/>
        </w:rPr>
        <w:tab/>
        <w:t>Em razão do exposto, votamos pela aprovação do parecer e pela conseqüente aprovação do Projeto de Lei nº 6971, de 2010, por considerá-lo útil e oportuno.</w:t>
      </w:r>
    </w:p>
    <w:p w:rsidR="0045775B" w:rsidRPr="0045775B" w:rsidRDefault="0045775B" w:rsidP="0045775B">
      <w:pPr>
        <w:spacing w:line="360" w:lineRule="auto"/>
        <w:ind w:left="1416" w:firstLine="708"/>
        <w:rPr>
          <w:rFonts w:eastAsia="Times New Roman"/>
          <w:sz w:val="24"/>
          <w:szCs w:val="24"/>
          <w:lang w:eastAsia="pt-BR"/>
        </w:rPr>
      </w:pPr>
    </w:p>
    <w:p w:rsidR="0045775B" w:rsidRPr="0045775B" w:rsidRDefault="0045775B" w:rsidP="0045775B">
      <w:pPr>
        <w:spacing w:line="360" w:lineRule="auto"/>
        <w:ind w:left="1416" w:firstLine="708"/>
        <w:jc w:val="center"/>
        <w:rPr>
          <w:rFonts w:eastAsia="Times New Roman"/>
          <w:sz w:val="24"/>
          <w:szCs w:val="24"/>
          <w:lang w:eastAsia="pt-BR"/>
        </w:rPr>
      </w:pPr>
      <w:r w:rsidRPr="0045775B">
        <w:rPr>
          <w:rFonts w:eastAsia="Times New Roman"/>
          <w:sz w:val="24"/>
          <w:szCs w:val="24"/>
          <w:lang w:eastAsia="pt-BR"/>
        </w:rPr>
        <w:t>Sala da Comissão, em 16 de abril de 2013.</w:t>
      </w:r>
    </w:p>
    <w:p w:rsidR="0045775B" w:rsidRPr="0045775B" w:rsidRDefault="0045775B" w:rsidP="0045775B">
      <w:pPr>
        <w:spacing w:line="360" w:lineRule="auto"/>
        <w:jc w:val="center"/>
        <w:rPr>
          <w:rFonts w:eastAsia="Times New Roman"/>
          <w:b/>
          <w:sz w:val="24"/>
          <w:szCs w:val="24"/>
          <w:lang w:eastAsia="pt-BR"/>
        </w:rPr>
      </w:pPr>
      <w:r w:rsidRPr="0045775B">
        <w:rPr>
          <w:rFonts w:eastAsia="Times New Roman"/>
          <w:sz w:val="24"/>
          <w:szCs w:val="24"/>
          <w:lang w:eastAsia="pt-BR"/>
        </w:rPr>
        <w:t xml:space="preserve">                           </w:t>
      </w:r>
      <w:r w:rsidRPr="0045775B">
        <w:rPr>
          <w:rFonts w:eastAsia="Times New Roman"/>
          <w:b/>
          <w:sz w:val="24"/>
          <w:szCs w:val="24"/>
          <w:lang w:eastAsia="pt-BR"/>
        </w:rPr>
        <w:t>Deputado Onyx Lorenzoni</w:t>
      </w:r>
    </w:p>
    <w:p w:rsidR="0045775B" w:rsidRPr="0045775B" w:rsidRDefault="0045775B" w:rsidP="0045775B">
      <w:pPr>
        <w:spacing w:line="360" w:lineRule="auto"/>
        <w:jc w:val="center"/>
        <w:rPr>
          <w:rFonts w:eastAsia="Times New Roman"/>
          <w:b/>
          <w:sz w:val="24"/>
          <w:szCs w:val="24"/>
          <w:lang w:eastAsia="pt-BR"/>
        </w:rPr>
      </w:pPr>
    </w:p>
    <w:p w:rsidR="0045775B" w:rsidRPr="0045775B" w:rsidRDefault="0045775B" w:rsidP="0045775B">
      <w:pPr>
        <w:autoSpaceDE w:val="0"/>
        <w:autoSpaceDN w:val="0"/>
        <w:adjustRightInd w:val="0"/>
        <w:spacing w:before="120" w:line="360" w:lineRule="auto"/>
        <w:jc w:val="center"/>
        <w:rPr>
          <w:rFonts w:eastAsia="Calibri"/>
          <w:b/>
          <w:bCs/>
          <w:color w:val="000000"/>
          <w:sz w:val="24"/>
          <w:szCs w:val="24"/>
          <w:lang w:eastAsia="pt-BR"/>
        </w:rPr>
      </w:pPr>
      <w:r w:rsidRPr="0045775B">
        <w:rPr>
          <w:rFonts w:eastAsia="Calibri"/>
          <w:b/>
          <w:bCs/>
          <w:color w:val="000000"/>
          <w:sz w:val="24"/>
          <w:szCs w:val="24"/>
          <w:lang w:eastAsia="pt-BR"/>
        </w:rPr>
        <w:t>VOTO EM SEPARADO DO DEPUTADO GUILHERME CAMPOS</w:t>
      </w:r>
    </w:p>
    <w:p w:rsidR="0045775B" w:rsidRPr="0045775B" w:rsidRDefault="0045775B" w:rsidP="0045775B">
      <w:pPr>
        <w:autoSpaceDE w:val="0"/>
        <w:autoSpaceDN w:val="0"/>
        <w:adjustRightInd w:val="0"/>
        <w:spacing w:before="120" w:after="120" w:line="360" w:lineRule="auto"/>
        <w:rPr>
          <w:rFonts w:eastAsia="Calibri"/>
          <w:b/>
          <w:bCs/>
          <w:color w:val="000000"/>
          <w:sz w:val="24"/>
          <w:szCs w:val="24"/>
          <w:lang w:eastAsia="pt-BR"/>
        </w:rPr>
      </w:pPr>
      <w:r w:rsidRPr="0045775B">
        <w:rPr>
          <w:rFonts w:eastAsia="Calibri"/>
          <w:b/>
          <w:bCs/>
          <w:color w:val="000000"/>
          <w:sz w:val="24"/>
          <w:szCs w:val="24"/>
          <w:lang w:eastAsia="pt-BR"/>
        </w:rPr>
        <w:t>I – RELATÓRIO</w:t>
      </w:r>
    </w:p>
    <w:p w:rsidR="0045775B" w:rsidRPr="0045775B" w:rsidRDefault="0045775B" w:rsidP="0045775B">
      <w:pPr>
        <w:autoSpaceDE w:val="0"/>
        <w:autoSpaceDN w:val="0"/>
        <w:adjustRightInd w:val="0"/>
        <w:spacing w:before="120" w:after="240" w:line="360" w:lineRule="auto"/>
        <w:ind w:firstLine="1418"/>
        <w:rPr>
          <w:rFonts w:eastAsia="Calibri"/>
          <w:color w:val="000000"/>
          <w:sz w:val="24"/>
          <w:szCs w:val="24"/>
          <w:lang w:eastAsia="pt-BR"/>
        </w:rPr>
      </w:pPr>
      <w:r w:rsidRPr="0045775B">
        <w:rPr>
          <w:rFonts w:eastAsia="Calibri"/>
          <w:color w:val="000000"/>
          <w:sz w:val="24"/>
          <w:szCs w:val="24"/>
          <w:lang w:eastAsia="pt-BR"/>
        </w:rPr>
        <w:t xml:space="preserve">Cuida-se de Projeto de Lei de autoria do Deputado Guilherme Campos, cujo objetivo é alterar a Lei 10.826, de 22 de dezembro de 2003, para conceder porte de arma de fogo aos colecionadores e atiradores. </w:t>
      </w:r>
    </w:p>
    <w:p w:rsidR="0045775B" w:rsidRPr="0045775B" w:rsidRDefault="0045775B" w:rsidP="0045775B">
      <w:pPr>
        <w:autoSpaceDE w:val="0"/>
        <w:autoSpaceDN w:val="0"/>
        <w:adjustRightInd w:val="0"/>
        <w:spacing w:before="120" w:after="240" w:line="360" w:lineRule="auto"/>
        <w:ind w:firstLine="1418"/>
        <w:rPr>
          <w:rFonts w:eastAsia="Calibri"/>
          <w:color w:val="000000"/>
          <w:sz w:val="24"/>
          <w:szCs w:val="24"/>
          <w:lang w:eastAsia="pt-BR"/>
        </w:rPr>
      </w:pPr>
      <w:r w:rsidRPr="0045775B">
        <w:rPr>
          <w:rFonts w:eastAsia="Calibri"/>
          <w:color w:val="000000"/>
          <w:sz w:val="24"/>
          <w:szCs w:val="24"/>
          <w:lang w:eastAsia="pt-BR"/>
        </w:rPr>
        <w:t xml:space="preserve">Na justificativa apresentada, o nobre autor argumentou que “O Estatuto do Desarmamento, ao prever algumas hipóteses para o porte de arma, no seu art. 6º, deixou lacunas ao não considerar algumas pessoas que desenvolvem atividades </w:t>
      </w:r>
      <w:r w:rsidRPr="0045775B">
        <w:rPr>
          <w:rFonts w:eastAsia="Calibri"/>
          <w:color w:val="000000"/>
          <w:sz w:val="24"/>
          <w:szCs w:val="24"/>
          <w:lang w:eastAsia="pt-BR"/>
        </w:rPr>
        <w:lastRenderedPageBreak/>
        <w:t xml:space="preserve">nas quais há convívio direto com armas de fogo e que, em função disso, precisam, indubitavelmente, dispor do porte de arma de fogo. Os colecionadores e os atiradores alinham-se entre aqueles que foram deixados no limbo legal pelo Estatuto do Desarmamento, sendo razoável que este sofra alterações, como a proposta feita aqui, para adequá-lo às necessidades que vão paulatinamente surgindo.” </w:t>
      </w:r>
    </w:p>
    <w:p w:rsidR="0045775B" w:rsidRPr="0045775B" w:rsidRDefault="0045775B" w:rsidP="0045775B">
      <w:pPr>
        <w:autoSpaceDE w:val="0"/>
        <w:autoSpaceDN w:val="0"/>
        <w:adjustRightInd w:val="0"/>
        <w:spacing w:before="120" w:after="240" w:line="360" w:lineRule="auto"/>
        <w:ind w:firstLine="1418"/>
        <w:rPr>
          <w:rFonts w:eastAsia="Calibri"/>
          <w:color w:val="000000"/>
          <w:sz w:val="24"/>
          <w:szCs w:val="24"/>
          <w:lang w:eastAsia="pt-BR"/>
        </w:rPr>
      </w:pPr>
      <w:r w:rsidRPr="0045775B">
        <w:rPr>
          <w:rFonts w:eastAsia="Calibri"/>
          <w:color w:val="000000"/>
          <w:sz w:val="24"/>
          <w:szCs w:val="24"/>
          <w:lang w:eastAsia="pt-BR"/>
        </w:rPr>
        <w:t xml:space="preserve">Apresentada em 16.03.2010, a proposição que tramita em regime ordinário, por despacho de 24.03.2010 foi distribuída às Comissões de Segurança Pública e Combate ao Crime Organizado e Constituição e Justiça e de Cidadania, sujeita à apreciação do Plenário. </w:t>
      </w:r>
    </w:p>
    <w:p w:rsidR="0045775B" w:rsidRPr="0045775B" w:rsidRDefault="0045775B" w:rsidP="0045775B">
      <w:pPr>
        <w:autoSpaceDE w:val="0"/>
        <w:autoSpaceDN w:val="0"/>
        <w:adjustRightInd w:val="0"/>
        <w:spacing w:before="120" w:after="240" w:line="360" w:lineRule="auto"/>
        <w:ind w:firstLine="1418"/>
        <w:rPr>
          <w:rFonts w:eastAsia="Calibri"/>
          <w:color w:val="000000"/>
          <w:sz w:val="24"/>
          <w:szCs w:val="24"/>
          <w:lang w:eastAsia="pt-BR"/>
        </w:rPr>
      </w:pPr>
      <w:r w:rsidRPr="0045775B">
        <w:rPr>
          <w:rFonts w:eastAsia="Calibri"/>
          <w:color w:val="000000"/>
          <w:sz w:val="24"/>
          <w:szCs w:val="24"/>
          <w:lang w:eastAsia="pt-BR"/>
        </w:rPr>
        <w:t xml:space="preserve">Designado o relator, não foi ofertado parecer, sendo a proposição arquivada por término de legislatura em 31.01.2011. Desarquivada em 15.02.2011, a relatoria designada apresentou parecer pela rejeição em 27.09.2011, o qual não foi votado e, iniciada a presente Sessão Legislativa, coube a esta Comissão ofertar novo parecer. </w:t>
      </w:r>
    </w:p>
    <w:p w:rsidR="0045775B" w:rsidRPr="0045775B" w:rsidRDefault="0045775B" w:rsidP="0045775B">
      <w:pPr>
        <w:autoSpaceDE w:val="0"/>
        <w:autoSpaceDN w:val="0"/>
        <w:adjustRightInd w:val="0"/>
        <w:spacing w:before="120" w:after="240" w:line="360" w:lineRule="auto"/>
        <w:ind w:firstLine="1418"/>
        <w:rPr>
          <w:rFonts w:eastAsia="Calibri"/>
          <w:color w:val="000000"/>
          <w:sz w:val="24"/>
          <w:szCs w:val="24"/>
          <w:lang w:eastAsia="pt-BR"/>
        </w:rPr>
      </w:pPr>
      <w:r w:rsidRPr="0045775B">
        <w:rPr>
          <w:rFonts w:eastAsia="Calibri"/>
          <w:color w:val="000000"/>
          <w:sz w:val="24"/>
          <w:szCs w:val="24"/>
          <w:lang w:eastAsia="pt-BR"/>
        </w:rPr>
        <w:t xml:space="preserve">Em 19.04.2012, o atual relator, Deputado Edio Lopes, apresentou-se desfavorável à matéria, manifestando voto pela rejeição. </w:t>
      </w:r>
    </w:p>
    <w:p w:rsidR="0045775B" w:rsidRPr="0045775B" w:rsidRDefault="0045775B" w:rsidP="0045775B">
      <w:pPr>
        <w:autoSpaceDE w:val="0"/>
        <w:autoSpaceDN w:val="0"/>
        <w:adjustRightInd w:val="0"/>
        <w:spacing w:before="120" w:after="240" w:line="360" w:lineRule="auto"/>
        <w:ind w:firstLine="1418"/>
        <w:rPr>
          <w:rFonts w:eastAsia="Calibri"/>
          <w:color w:val="000000"/>
          <w:sz w:val="24"/>
          <w:szCs w:val="24"/>
          <w:lang w:eastAsia="pt-BR"/>
        </w:rPr>
      </w:pPr>
      <w:r w:rsidRPr="0045775B">
        <w:rPr>
          <w:rFonts w:eastAsia="Calibri"/>
          <w:color w:val="000000"/>
          <w:sz w:val="24"/>
          <w:szCs w:val="24"/>
          <w:lang w:eastAsia="pt-BR"/>
        </w:rPr>
        <w:t xml:space="preserve">É o relatório. </w:t>
      </w:r>
    </w:p>
    <w:p w:rsidR="0045775B" w:rsidRPr="0045775B" w:rsidRDefault="0045775B" w:rsidP="0045775B">
      <w:pPr>
        <w:autoSpaceDE w:val="0"/>
        <w:autoSpaceDN w:val="0"/>
        <w:adjustRightInd w:val="0"/>
        <w:spacing w:before="120" w:after="240" w:line="360" w:lineRule="auto"/>
        <w:jc w:val="left"/>
        <w:rPr>
          <w:rFonts w:eastAsia="Calibri"/>
          <w:b/>
          <w:bCs/>
          <w:color w:val="000000"/>
          <w:sz w:val="24"/>
          <w:szCs w:val="24"/>
          <w:lang w:eastAsia="pt-BR"/>
        </w:rPr>
      </w:pPr>
      <w:r w:rsidRPr="0045775B">
        <w:rPr>
          <w:rFonts w:eastAsia="Calibri"/>
          <w:b/>
          <w:bCs/>
          <w:color w:val="000000"/>
          <w:sz w:val="24"/>
          <w:szCs w:val="24"/>
          <w:lang w:eastAsia="pt-BR"/>
        </w:rPr>
        <w:t xml:space="preserve">II - VOTO EM SEPARADO </w:t>
      </w:r>
    </w:p>
    <w:p w:rsidR="0045775B" w:rsidRPr="0045775B" w:rsidRDefault="0045775B" w:rsidP="0045775B">
      <w:pPr>
        <w:autoSpaceDE w:val="0"/>
        <w:autoSpaceDN w:val="0"/>
        <w:adjustRightInd w:val="0"/>
        <w:spacing w:before="120" w:after="240" w:line="360" w:lineRule="auto"/>
        <w:ind w:firstLine="1418"/>
        <w:rPr>
          <w:rFonts w:eastAsia="Calibri"/>
          <w:color w:val="000000"/>
          <w:sz w:val="24"/>
          <w:szCs w:val="24"/>
          <w:lang w:eastAsia="pt-BR"/>
        </w:rPr>
      </w:pPr>
      <w:r w:rsidRPr="0045775B">
        <w:rPr>
          <w:rFonts w:eastAsia="Calibri"/>
          <w:color w:val="000000"/>
          <w:sz w:val="24"/>
          <w:szCs w:val="24"/>
          <w:lang w:eastAsia="pt-BR"/>
        </w:rPr>
        <w:t xml:space="preserve">Conforme mencionado, o Projeto de Lei em análise foi apresentado com a premissa de suprimir a lacuna existente na Lei 10.826/2003, que deixou de considerar os atiradores e colecionadores entre as pessoas autorizadas a portar arma de fogo. </w:t>
      </w:r>
    </w:p>
    <w:p w:rsidR="0045775B" w:rsidRPr="0045775B" w:rsidRDefault="0045775B" w:rsidP="0045775B">
      <w:pPr>
        <w:autoSpaceDE w:val="0"/>
        <w:autoSpaceDN w:val="0"/>
        <w:adjustRightInd w:val="0"/>
        <w:spacing w:before="120" w:after="240" w:line="360" w:lineRule="auto"/>
        <w:ind w:firstLine="1418"/>
        <w:rPr>
          <w:rFonts w:eastAsia="Calibri"/>
          <w:color w:val="000000"/>
          <w:sz w:val="24"/>
          <w:szCs w:val="24"/>
          <w:lang w:eastAsia="pt-BR"/>
        </w:rPr>
      </w:pPr>
      <w:r w:rsidRPr="0045775B">
        <w:rPr>
          <w:rFonts w:eastAsia="Calibri"/>
          <w:color w:val="000000"/>
          <w:sz w:val="24"/>
          <w:szCs w:val="24"/>
          <w:lang w:eastAsia="pt-BR"/>
        </w:rPr>
        <w:t xml:space="preserve">Segundo o parecer do eminente Relator, o projeto deve ser rejeitado sob algumas premissas basilares, a saber: I – a Lei 10.826/2003, apenas autoriza aos colecionadores e atiradores o porte de trânsito; II - nada impede que atiradores e colecionadores possam obter porte de arma de fogo de uso permitido, perante a Polícia Federal; III – os CAC (caçadores, atiradores e colecionadores) formam a categoria com direito a porte de arma considerada a menos fiscalizada pelo poder público; IV - os colecionadores não exercem atividade típica de Estado; V – é necessário limitar os potenciais abusos para não surgirem muitos “desportistas” e </w:t>
      </w:r>
      <w:r w:rsidRPr="0045775B">
        <w:rPr>
          <w:rFonts w:eastAsia="Calibri"/>
          <w:color w:val="000000"/>
          <w:sz w:val="24"/>
          <w:szCs w:val="24"/>
          <w:lang w:eastAsia="pt-BR"/>
        </w:rPr>
        <w:lastRenderedPageBreak/>
        <w:t xml:space="preserve">“colecionadores” que se qualificarão como tal para requer autorização para fins escusos; e VI - boa parte dos atiradores desportivos e dos colecionadores são militares das Forças Armadas, das forças militares estaduais e distritais e das forças policiais, os quais já são contemplados com a autorização para porte de arma de fogo de uso pessoal. </w:t>
      </w:r>
    </w:p>
    <w:p w:rsidR="0045775B" w:rsidRPr="0045775B" w:rsidRDefault="0045775B" w:rsidP="0045775B">
      <w:pPr>
        <w:autoSpaceDE w:val="0"/>
        <w:autoSpaceDN w:val="0"/>
        <w:adjustRightInd w:val="0"/>
        <w:spacing w:before="120" w:after="240" w:line="360" w:lineRule="auto"/>
        <w:ind w:firstLine="1418"/>
        <w:rPr>
          <w:rFonts w:eastAsia="Calibri"/>
          <w:color w:val="000000"/>
          <w:sz w:val="24"/>
          <w:szCs w:val="24"/>
          <w:lang w:eastAsia="pt-BR"/>
        </w:rPr>
      </w:pPr>
      <w:r w:rsidRPr="0045775B">
        <w:rPr>
          <w:rFonts w:eastAsia="Calibri"/>
          <w:color w:val="000000"/>
          <w:sz w:val="24"/>
          <w:szCs w:val="24"/>
          <w:lang w:eastAsia="pt-BR"/>
        </w:rPr>
        <w:t xml:space="preserve">Apesar da nobre intenção do Relator em contribuir para a segurança pública, evitando que armas e munições caiam em mão erradas, é preciso trazer à baila alguns pontos que convergem para entendimento diverso do apresentado em seu parecer. </w:t>
      </w:r>
    </w:p>
    <w:p w:rsidR="0045775B" w:rsidRPr="0045775B" w:rsidRDefault="0045775B" w:rsidP="0045775B">
      <w:pPr>
        <w:autoSpaceDE w:val="0"/>
        <w:autoSpaceDN w:val="0"/>
        <w:adjustRightInd w:val="0"/>
        <w:spacing w:before="120" w:after="240" w:line="360" w:lineRule="auto"/>
        <w:ind w:firstLine="1418"/>
        <w:rPr>
          <w:rFonts w:eastAsia="Calibri"/>
          <w:color w:val="000000"/>
          <w:sz w:val="24"/>
          <w:szCs w:val="24"/>
          <w:lang w:eastAsia="pt-BR"/>
        </w:rPr>
      </w:pPr>
      <w:r w:rsidRPr="0045775B">
        <w:rPr>
          <w:rFonts w:eastAsia="Calibri"/>
          <w:color w:val="000000"/>
          <w:sz w:val="24"/>
          <w:szCs w:val="24"/>
          <w:lang w:eastAsia="pt-BR"/>
        </w:rPr>
        <w:t xml:space="preserve">A Lei nº 10.826, de 22 de dezembro de 2003, conhecida como Estatuto do Desarmamento, embora excepcionando algumas situações peculiares da proibição geral ao porte de arma de fogo em território nacional e mencionando, genericamente, no art. 6º, IX, </w:t>
      </w:r>
      <w:r w:rsidRPr="0045775B">
        <w:rPr>
          <w:rFonts w:eastAsia="Calibri"/>
          <w:i/>
          <w:iCs/>
          <w:color w:val="000000"/>
          <w:sz w:val="24"/>
          <w:szCs w:val="24"/>
          <w:lang w:eastAsia="pt-BR"/>
        </w:rPr>
        <w:t>“integrantes das entidades de desporto legalmente constituídas, cujas atividades esportivas demandem o uso de armas de fogo”</w:t>
      </w:r>
      <w:r w:rsidRPr="0045775B">
        <w:rPr>
          <w:rFonts w:eastAsia="Calibri"/>
          <w:color w:val="000000"/>
          <w:sz w:val="24"/>
          <w:szCs w:val="24"/>
          <w:lang w:eastAsia="pt-BR"/>
        </w:rPr>
        <w:t xml:space="preserve">, deixou de regulamentar específica e objetivamente a situação destes, conhecidos como CAC, cujas atividades, por sua natureza, demandam, além de constante convívio com armas, o transporte e a guarda destas. Tratou-se, pois, de um direito previsto, mas não materializado. </w:t>
      </w:r>
    </w:p>
    <w:p w:rsidR="0045775B" w:rsidRPr="0045775B" w:rsidRDefault="0045775B" w:rsidP="0045775B">
      <w:pPr>
        <w:autoSpaceDE w:val="0"/>
        <w:autoSpaceDN w:val="0"/>
        <w:adjustRightInd w:val="0"/>
        <w:spacing w:before="120" w:after="240" w:line="360" w:lineRule="auto"/>
        <w:ind w:firstLine="1418"/>
        <w:rPr>
          <w:rFonts w:eastAsia="Calibri"/>
          <w:color w:val="000000"/>
          <w:sz w:val="24"/>
          <w:szCs w:val="24"/>
          <w:lang w:eastAsia="pt-BR"/>
        </w:rPr>
      </w:pPr>
      <w:r w:rsidRPr="0045775B">
        <w:rPr>
          <w:rFonts w:eastAsia="Calibri"/>
          <w:color w:val="000000"/>
          <w:sz w:val="24"/>
          <w:szCs w:val="24"/>
          <w:lang w:eastAsia="pt-BR"/>
        </w:rPr>
        <w:t xml:space="preserve">Tais indivíduos, aos quais é assegurada a prática desportiva do tiro e da caça – quando legalmente autorizada -, além do colecionamento de armas e munições, são atualmente regulamentados e fiscalizados pelo Exército Brasileiro, consoante disposição da própria Lei nº 10.826/03, em seu art. 9º, e do art. 30 do Decreto nº 5.123/04. </w:t>
      </w:r>
    </w:p>
    <w:p w:rsidR="0045775B" w:rsidRPr="0045775B" w:rsidRDefault="0045775B" w:rsidP="0045775B">
      <w:pPr>
        <w:autoSpaceDE w:val="0"/>
        <w:autoSpaceDN w:val="0"/>
        <w:adjustRightInd w:val="0"/>
        <w:spacing w:before="120" w:after="240" w:line="360" w:lineRule="auto"/>
        <w:ind w:firstLine="1418"/>
        <w:rPr>
          <w:rFonts w:eastAsia="Calibri"/>
          <w:color w:val="000000"/>
          <w:sz w:val="24"/>
          <w:szCs w:val="24"/>
          <w:lang w:eastAsia="pt-BR"/>
        </w:rPr>
      </w:pPr>
      <w:r w:rsidRPr="0045775B">
        <w:rPr>
          <w:rFonts w:eastAsia="Calibri"/>
          <w:color w:val="000000"/>
          <w:sz w:val="24"/>
          <w:szCs w:val="24"/>
          <w:lang w:eastAsia="pt-BR"/>
        </w:rPr>
        <w:t xml:space="preserve">Porém, a eles é assegurado, apenas, o direito de transporte de armas para a prática de suas atividades (porte de trânsito), sob as condições impostas pelo próprio Exército, isto é, com armas desmuniciadas e acondicionadas de forma a impedir seu uso imediato – Portarias nº 04 e 05 do D-Log. </w:t>
      </w:r>
    </w:p>
    <w:p w:rsidR="0045775B" w:rsidRPr="0045775B" w:rsidRDefault="0045775B" w:rsidP="0045775B">
      <w:pPr>
        <w:autoSpaceDE w:val="0"/>
        <w:autoSpaceDN w:val="0"/>
        <w:adjustRightInd w:val="0"/>
        <w:spacing w:before="120" w:after="240" w:line="360" w:lineRule="auto"/>
        <w:ind w:firstLine="1418"/>
        <w:rPr>
          <w:rFonts w:eastAsia="Calibri"/>
          <w:color w:val="000000"/>
          <w:sz w:val="24"/>
          <w:szCs w:val="24"/>
          <w:lang w:eastAsia="pt-BR"/>
        </w:rPr>
      </w:pPr>
      <w:r w:rsidRPr="0045775B">
        <w:rPr>
          <w:rFonts w:eastAsia="Calibri"/>
          <w:color w:val="000000"/>
          <w:sz w:val="24"/>
          <w:szCs w:val="24"/>
          <w:lang w:eastAsia="pt-BR"/>
        </w:rPr>
        <w:t xml:space="preserve">Sucede que, nos dias atuais, impingir aos CAC o transporte de suas armas desmuniciadas, através de mero porte de trânsito, culmina por expô-los a riscos demasiados, retirando-lhes a possibilidade de, se injustamente atacados quando de seus deslocamentos, defenderem a própria vida e, mesmo, seus acervos, </w:t>
      </w:r>
      <w:r w:rsidRPr="0045775B">
        <w:rPr>
          <w:rFonts w:eastAsia="Calibri"/>
          <w:color w:val="000000"/>
          <w:sz w:val="24"/>
          <w:szCs w:val="24"/>
          <w:lang w:eastAsia="pt-BR"/>
        </w:rPr>
        <w:lastRenderedPageBreak/>
        <w:t xml:space="preserve">para impedir que ilegalmente se transfiram a quem, criminosamente, pretenda empregar-lhes uso ilegal. </w:t>
      </w:r>
    </w:p>
    <w:p w:rsidR="0045775B" w:rsidRPr="0045775B" w:rsidRDefault="0045775B" w:rsidP="0045775B">
      <w:pPr>
        <w:autoSpaceDE w:val="0"/>
        <w:autoSpaceDN w:val="0"/>
        <w:adjustRightInd w:val="0"/>
        <w:spacing w:before="120" w:after="240" w:line="360" w:lineRule="auto"/>
        <w:ind w:firstLine="1418"/>
        <w:rPr>
          <w:rFonts w:eastAsia="Calibri"/>
          <w:color w:val="000000"/>
          <w:sz w:val="24"/>
          <w:szCs w:val="24"/>
          <w:lang w:eastAsia="pt-BR"/>
        </w:rPr>
      </w:pPr>
      <w:r w:rsidRPr="0045775B">
        <w:rPr>
          <w:rFonts w:eastAsia="Calibri"/>
          <w:color w:val="000000"/>
          <w:sz w:val="24"/>
          <w:szCs w:val="24"/>
          <w:lang w:eastAsia="pt-BR"/>
        </w:rPr>
        <w:t xml:space="preserve">Observe-se, nesse contexto, que, em face de sua própria natureza e de toda a segurança de que precisam se revestir, as entidades dedicadas à prática esportiva com o uso de armas normalmente se situam em locais distantes dos centros urbanos, impondo aos atiradores que a elas se vinculam, deslocamentos muitas vezes consideráveis e por vias nas quais não se pode contar com a presença ostensiva do Poder Público, especialmente as Forças Policiais. </w:t>
      </w:r>
    </w:p>
    <w:p w:rsidR="0045775B" w:rsidRPr="0045775B" w:rsidRDefault="0045775B" w:rsidP="0045775B">
      <w:pPr>
        <w:autoSpaceDE w:val="0"/>
        <w:autoSpaceDN w:val="0"/>
        <w:adjustRightInd w:val="0"/>
        <w:spacing w:before="120" w:after="240" w:line="360" w:lineRule="auto"/>
        <w:ind w:firstLine="1418"/>
        <w:rPr>
          <w:rFonts w:eastAsia="Calibri"/>
          <w:color w:val="000000"/>
          <w:sz w:val="24"/>
          <w:szCs w:val="24"/>
          <w:lang w:eastAsia="pt-BR"/>
        </w:rPr>
      </w:pPr>
      <w:r w:rsidRPr="0045775B">
        <w:rPr>
          <w:rFonts w:eastAsia="Calibri"/>
          <w:color w:val="000000"/>
          <w:sz w:val="24"/>
          <w:szCs w:val="24"/>
          <w:lang w:eastAsia="pt-BR"/>
        </w:rPr>
        <w:t xml:space="preserve">Em razão disso, não se afigura razoável manter-se a restrição de porte a tais indivíduos. Afinal, com isso, passam estes à condição de “alvos fáceis” para ataques criminosos, seja quando transportando armas, mas sem poderem com elas esboçar qualquer reação, seja quando simplesmente promovendo seus deslocamentos cotidianos, durante os quais não se afastam de sua condição diferenciada e permanecem como alvos potenciais de investidas criminosas voltadas a, mesmo que indiretamente, mediante extorsão ou sequestro, obter ilicitamente as armas a eles pertencentes. </w:t>
      </w:r>
    </w:p>
    <w:p w:rsidR="0045775B" w:rsidRPr="0045775B" w:rsidRDefault="0045775B" w:rsidP="0045775B">
      <w:pPr>
        <w:autoSpaceDE w:val="0"/>
        <w:autoSpaceDN w:val="0"/>
        <w:adjustRightInd w:val="0"/>
        <w:spacing w:before="120" w:after="240" w:line="360" w:lineRule="auto"/>
        <w:ind w:firstLine="1418"/>
        <w:rPr>
          <w:rFonts w:eastAsia="Calibri"/>
          <w:color w:val="000000"/>
          <w:sz w:val="24"/>
          <w:szCs w:val="24"/>
          <w:lang w:eastAsia="pt-BR"/>
        </w:rPr>
      </w:pPr>
      <w:r w:rsidRPr="0045775B">
        <w:rPr>
          <w:rFonts w:eastAsia="Calibri"/>
          <w:color w:val="000000"/>
          <w:sz w:val="24"/>
          <w:szCs w:val="24"/>
          <w:lang w:eastAsia="pt-BR"/>
        </w:rPr>
        <w:t xml:space="preserve">A Lei atual, pois, ao revés de evitar que armas legais sejam eventualmente roubadas, acaba favorecendo tal prática, ao tornar os CAC detentores de acervo desprotegido. </w:t>
      </w:r>
    </w:p>
    <w:p w:rsidR="0045775B" w:rsidRPr="0045775B" w:rsidRDefault="0045775B" w:rsidP="0045775B">
      <w:pPr>
        <w:autoSpaceDE w:val="0"/>
        <w:autoSpaceDN w:val="0"/>
        <w:adjustRightInd w:val="0"/>
        <w:spacing w:before="120" w:after="240" w:line="360" w:lineRule="auto"/>
        <w:ind w:firstLine="1418"/>
        <w:rPr>
          <w:rFonts w:eastAsia="Calibri"/>
          <w:color w:val="000000"/>
          <w:sz w:val="24"/>
          <w:szCs w:val="24"/>
          <w:lang w:eastAsia="pt-BR"/>
        </w:rPr>
      </w:pPr>
      <w:r w:rsidRPr="0045775B">
        <w:rPr>
          <w:rFonts w:eastAsia="Calibri"/>
          <w:color w:val="000000"/>
          <w:sz w:val="24"/>
          <w:szCs w:val="24"/>
          <w:lang w:eastAsia="pt-BR"/>
        </w:rPr>
        <w:t>Com a devida vênia ao Relator do projeto, não procedem suas justificativas para a rejeição. A afirmação de que “</w:t>
      </w:r>
      <w:r w:rsidRPr="0045775B">
        <w:rPr>
          <w:rFonts w:eastAsia="Calibri"/>
          <w:i/>
          <w:iCs/>
          <w:color w:val="000000"/>
          <w:sz w:val="24"/>
          <w:szCs w:val="24"/>
          <w:lang w:eastAsia="pt-BR"/>
        </w:rPr>
        <w:t xml:space="preserve">nada impede que atiradores e colecionadores possam obter porte de arma de fogo de uso permitido, perante a Polícia Federal” </w:t>
      </w:r>
      <w:r w:rsidRPr="0045775B">
        <w:rPr>
          <w:rFonts w:eastAsia="Calibri"/>
          <w:color w:val="000000"/>
          <w:sz w:val="24"/>
          <w:szCs w:val="24"/>
          <w:lang w:eastAsia="pt-BR"/>
        </w:rPr>
        <w:t xml:space="preserve">é contrastada por toda a prática quotidiana do órgão. Primeiro, porque para esta concessão de porte tem-se exigido do interessado provar a necessidade por exercício de atividade profissional de existência risco ou de ameaça à sua integridade física, sendo que, neste último caso, muitos delegados somente o consideram provado com um Boletim de Ocorrência de ameaça, para provar a iminência do perigo. Como os CAC não se enquadram nestas duas hipóteses, terão, com frequência, seus pedidos de porte indeferidos – conforme, aliás, tem se verificado diuturnamente. </w:t>
      </w:r>
    </w:p>
    <w:p w:rsidR="0045775B" w:rsidRPr="0045775B" w:rsidRDefault="0045775B" w:rsidP="0045775B">
      <w:pPr>
        <w:autoSpaceDE w:val="0"/>
        <w:autoSpaceDN w:val="0"/>
        <w:adjustRightInd w:val="0"/>
        <w:spacing w:before="120" w:after="240" w:line="360" w:lineRule="auto"/>
        <w:ind w:firstLine="1418"/>
        <w:rPr>
          <w:rFonts w:eastAsia="Calibri"/>
          <w:color w:val="000000"/>
          <w:sz w:val="24"/>
          <w:szCs w:val="24"/>
          <w:lang w:eastAsia="pt-BR"/>
        </w:rPr>
      </w:pPr>
      <w:r w:rsidRPr="0045775B">
        <w:rPr>
          <w:rFonts w:eastAsia="Calibri"/>
          <w:color w:val="000000"/>
          <w:sz w:val="24"/>
          <w:szCs w:val="24"/>
          <w:lang w:eastAsia="pt-BR"/>
        </w:rPr>
        <w:lastRenderedPageBreak/>
        <w:t xml:space="preserve">Em segundo lugar, a Polícia Federal não tem atualmente estrutura suficiente sequer para analisar todos os pedidos que lhe são submetidos e emitir os respectivos registros. Em alguns estados, a concessão de porte e registro tem demorado cerca de um ano, o que já bem dimensiona o que ocorrerá se milhares de CAC passarem a solicitar também o porte de arma a este órgão. </w:t>
      </w:r>
    </w:p>
    <w:p w:rsidR="0045775B" w:rsidRPr="0045775B" w:rsidRDefault="0045775B" w:rsidP="0045775B">
      <w:pPr>
        <w:autoSpaceDE w:val="0"/>
        <w:autoSpaceDN w:val="0"/>
        <w:adjustRightInd w:val="0"/>
        <w:spacing w:before="120" w:after="240" w:line="360" w:lineRule="auto"/>
        <w:ind w:firstLine="1418"/>
        <w:rPr>
          <w:rFonts w:eastAsia="Calibri"/>
          <w:color w:val="000000"/>
          <w:sz w:val="24"/>
          <w:szCs w:val="24"/>
          <w:lang w:eastAsia="pt-BR"/>
        </w:rPr>
      </w:pPr>
      <w:r w:rsidRPr="0045775B">
        <w:rPr>
          <w:rFonts w:eastAsia="Calibri"/>
          <w:color w:val="000000"/>
          <w:sz w:val="24"/>
          <w:szCs w:val="24"/>
          <w:lang w:eastAsia="pt-BR"/>
        </w:rPr>
        <w:t xml:space="preserve">No mais, não há que se falar ser necessário limitar os potenciais abusos para não surgirem muitos “desportistas” e “colecionadores” que se qualificarão como tal para requer autorização para fins escusos. Jamais uma pessoa que quer adquirir uma arma para fins ilegais irá ao Exército ou à Polícia Federal solicitar o porte ou registro desta arma. Ainda mais diante da grande oferta e da facilidade de adquirir armas ilegais contrabandeadas, sem registro algum, que entram diariamente no Brasil, pelas nossas gigantescas e mal cuidadas fronteiras. </w:t>
      </w:r>
    </w:p>
    <w:p w:rsidR="0045775B" w:rsidRPr="0045775B" w:rsidRDefault="0045775B" w:rsidP="0045775B">
      <w:pPr>
        <w:autoSpaceDE w:val="0"/>
        <w:autoSpaceDN w:val="0"/>
        <w:adjustRightInd w:val="0"/>
        <w:spacing w:before="120" w:after="240" w:line="360" w:lineRule="auto"/>
        <w:ind w:firstLine="1418"/>
        <w:rPr>
          <w:rFonts w:eastAsia="Calibri"/>
          <w:color w:val="000000"/>
          <w:sz w:val="24"/>
          <w:szCs w:val="24"/>
          <w:lang w:eastAsia="pt-BR"/>
        </w:rPr>
      </w:pPr>
      <w:r w:rsidRPr="0045775B">
        <w:rPr>
          <w:rFonts w:eastAsia="Calibri"/>
          <w:color w:val="000000"/>
          <w:sz w:val="24"/>
          <w:szCs w:val="24"/>
          <w:lang w:eastAsia="pt-BR"/>
        </w:rPr>
        <w:t xml:space="preserve">Observe-se que, ao contrário do quanto alegado no respeitável parecer da Relatoria, os CAC hoje compõem a categoria com acesso às armas de fogo mais fiscalizada no país, sujeitando-se a exigências que não se aplicam a qualquer outro cidadão, a exemplo de terem suas residências constantemente vistoriadas pelo Exército Brasileiro, inclusive de forma inopinada. Falta de fiscalização, definitivamente, não é um argumento válido diante a efetiva burocracia que se impõe a esta categoria e seria ingenuidade acreditar que qualquer individuo mal intencionado a ela se submetesse com fins espúrios. Seria como cometer um crime e deixar o cartão de visita no local. </w:t>
      </w:r>
    </w:p>
    <w:p w:rsidR="0045775B" w:rsidRPr="0045775B" w:rsidRDefault="0045775B" w:rsidP="0045775B">
      <w:pPr>
        <w:autoSpaceDE w:val="0"/>
        <w:autoSpaceDN w:val="0"/>
        <w:adjustRightInd w:val="0"/>
        <w:spacing w:before="120" w:after="240" w:line="360" w:lineRule="auto"/>
        <w:ind w:firstLine="1418"/>
        <w:rPr>
          <w:rFonts w:eastAsia="Calibri"/>
          <w:color w:val="000000"/>
          <w:sz w:val="24"/>
          <w:szCs w:val="24"/>
          <w:lang w:eastAsia="pt-BR"/>
        </w:rPr>
      </w:pPr>
      <w:r w:rsidRPr="0045775B">
        <w:rPr>
          <w:rFonts w:eastAsia="Calibri"/>
          <w:color w:val="000000"/>
          <w:sz w:val="24"/>
          <w:szCs w:val="24"/>
          <w:lang w:eastAsia="pt-BR"/>
        </w:rPr>
        <w:t xml:space="preserve">É preciso esclarecer, ademais, que, segundo dados disponibilizados pela associação civil Movimento Viva Brasil, menos de 20% dos CAC são militares ou policiais. Logo, essa condição em nada aproveita a absoluta maioria da categoria na obtenção de licenças para porte de arma, sem contar que esta concessão é rígida, não podendo ser flexibilizada por qualquer nível de relação interpessoal com representantes da Polícia Federal, como sugere o referido parecer. </w:t>
      </w:r>
    </w:p>
    <w:p w:rsidR="0045775B" w:rsidRPr="0045775B" w:rsidRDefault="0045775B" w:rsidP="0045775B">
      <w:pPr>
        <w:autoSpaceDE w:val="0"/>
        <w:autoSpaceDN w:val="0"/>
        <w:adjustRightInd w:val="0"/>
        <w:spacing w:before="120" w:after="240" w:line="360" w:lineRule="auto"/>
        <w:ind w:firstLine="1418"/>
        <w:rPr>
          <w:rFonts w:eastAsia="Calibri"/>
          <w:color w:val="000000"/>
          <w:sz w:val="24"/>
          <w:szCs w:val="24"/>
          <w:lang w:eastAsia="pt-BR"/>
        </w:rPr>
      </w:pPr>
      <w:r w:rsidRPr="0045775B">
        <w:rPr>
          <w:rFonts w:eastAsia="Calibri"/>
          <w:color w:val="000000"/>
          <w:sz w:val="24"/>
          <w:szCs w:val="24"/>
          <w:lang w:eastAsia="pt-BR"/>
        </w:rPr>
        <w:t xml:space="preserve">Com efeito, embora não exercendo atividade típica de Estado, algumas pessoas, como os CAC, devem ser autorizadas a portar arma de fogo em razão da atividade desempenhada. E isso não apenas para a segurança destes, mas de toda </w:t>
      </w:r>
      <w:r w:rsidRPr="0045775B">
        <w:rPr>
          <w:rFonts w:eastAsia="Calibri"/>
          <w:color w:val="000000"/>
          <w:sz w:val="24"/>
          <w:szCs w:val="24"/>
          <w:lang w:eastAsia="pt-BR"/>
        </w:rPr>
        <w:lastRenderedPageBreak/>
        <w:t xml:space="preserve">a sociedade que será atingida caso estas armas sejam roubadas e utilizadas em práticas criminosas, o que, repita-se, acaba sendo favorecido pela legislação atual. </w:t>
      </w:r>
    </w:p>
    <w:p w:rsidR="0045775B" w:rsidRPr="0045775B" w:rsidRDefault="0045775B" w:rsidP="0045775B">
      <w:pPr>
        <w:autoSpaceDE w:val="0"/>
        <w:autoSpaceDN w:val="0"/>
        <w:adjustRightInd w:val="0"/>
        <w:spacing w:before="120" w:after="240" w:line="360" w:lineRule="auto"/>
        <w:ind w:firstLine="1418"/>
        <w:rPr>
          <w:rFonts w:eastAsia="Calibri"/>
          <w:color w:val="000000"/>
          <w:sz w:val="24"/>
          <w:szCs w:val="24"/>
          <w:lang w:eastAsia="pt-BR"/>
        </w:rPr>
      </w:pPr>
      <w:r w:rsidRPr="0045775B">
        <w:rPr>
          <w:rFonts w:eastAsia="Calibri"/>
          <w:color w:val="000000"/>
          <w:sz w:val="24"/>
          <w:szCs w:val="24"/>
          <w:lang w:eastAsia="pt-BR"/>
        </w:rPr>
        <w:t xml:space="preserve">O principal a ser esclarecido em relação à presente proposta é que os CAC já possuem hoje autorização para adquirir e transportar armas, nas condições estabelecidas na rígida legislação que lhes rege. A única diferença que estabelece o projeto em discussão é que, ao invés de transitarem com elas desmuniciadas – mas ao lado dos respectivos cartuchos – poderiam transitar com as munições no interior de suas armas, protegendo seus acervos e, claro, a própria vida. </w:t>
      </w:r>
    </w:p>
    <w:p w:rsidR="0045775B" w:rsidRPr="0045775B" w:rsidRDefault="0045775B" w:rsidP="0045775B">
      <w:pPr>
        <w:autoSpaceDE w:val="0"/>
        <w:autoSpaceDN w:val="0"/>
        <w:adjustRightInd w:val="0"/>
        <w:spacing w:before="120" w:after="240" w:line="360" w:lineRule="auto"/>
        <w:ind w:firstLine="1418"/>
        <w:rPr>
          <w:rFonts w:eastAsia="Calibri"/>
          <w:color w:val="000000"/>
          <w:sz w:val="24"/>
          <w:szCs w:val="24"/>
          <w:lang w:eastAsia="pt-BR"/>
        </w:rPr>
      </w:pPr>
      <w:r w:rsidRPr="0045775B">
        <w:rPr>
          <w:rFonts w:eastAsia="Calibri"/>
          <w:color w:val="000000"/>
          <w:sz w:val="24"/>
          <w:szCs w:val="24"/>
          <w:lang w:eastAsia="pt-BR"/>
        </w:rPr>
        <w:t xml:space="preserve">Feitas estas considerações que o justificam, apresenta-se o presente Voto em Separado, visando corrigir tal distorção legislativa, suprindo a lacuna legal que até então persiste, a fim de assegurar aos indivíduos que menciona o pronto direito ao porte de arma de fogo, mediante comprovação de estarem, eles e suas armas, devidamente registrados no órgão competente, para o que, reitere-se, já se fazem exigíveis rígidos procedimentos. </w:t>
      </w:r>
    </w:p>
    <w:p w:rsidR="0045775B" w:rsidRPr="0045775B" w:rsidRDefault="0045775B" w:rsidP="0045775B">
      <w:pPr>
        <w:autoSpaceDE w:val="0"/>
        <w:autoSpaceDN w:val="0"/>
        <w:adjustRightInd w:val="0"/>
        <w:spacing w:before="120" w:after="240" w:line="360" w:lineRule="auto"/>
        <w:ind w:firstLine="1418"/>
        <w:rPr>
          <w:rFonts w:eastAsia="Calibri"/>
          <w:color w:val="000000"/>
          <w:sz w:val="24"/>
          <w:szCs w:val="24"/>
          <w:lang w:eastAsia="pt-BR"/>
        </w:rPr>
      </w:pPr>
      <w:r w:rsidRPr="0045775B">
        <w:rPr>
          <w:rFonts w:eastAsia="Calibri"/>
          <w:color w:val="000000"/>
          <w:sz w:val="24"/>
          <w:szCs w:val="24"/>
          <w:lang w:eastAsia="pt-BR"/>
        </w:rPr>
        <w:t xml:space="preserve">Diante do todo o exposto, voto pela aprovação do PL 6971/2010, na forma do Substitutivo que ora apresento. </w:t>
      </w:r>
    </w:p>
    <w:p w:rsidR="0045775B" w:rsidRPr="0045775B" w:rsidRDefault="0045775B" w:rsidP="0045775B">
      <w:pPr>
        <w:autoSpaceDE w:val="0"/>
        <w:autoSpaceDN w:val="0"/>
        <w:adjustRightInd w:val="0"/>
        <w:spacing w:before="120" w:after="240" w:line="360" w:lineRule="auto"/>
        <w:ind w:firstLine="1418"/>
        <w:rPr>
          <w:rFonts w:eastAsia="Calibri"/>
          <w:color w:val="000000"/>
          <w:sz w:val="24"/>
          <w:szCs w:val="24"/>
          <w:lang w:eastAsia="pt-BR"/>
        </w:rPr>
      </w:pPr>
      <w:r w:rsidRPr="0045775B">
        <w:rPr>
          <w:rFonts w:eastAsia="Calibri"/>
          <w:color w:val="000000"/>
          <w:sz w:val="24"/>
          <w:szCs w:val="24"/>
          <w:lang w:eastAsia="pt-BR"/>
        </w:rPr>
        <w:t xml:space="preserve">Certo de contar com o melhor entendimento dos nobres pares, oferecemos esta contribuição para o aperfeiçoamento do nosso ordenamento jurídico. </w:t>
      </w:r>
    </w:p>
    <w:p w:rsidR="0045775B" w:rsidRPr="0045775B" w:rsidRDefault="0045775B" w:rsidP="0045775B">
      <w:pPr>
        <w:autoSpaceDE w:val="0"/>
        <w:autoSpaceDN w:val="0"/>
        <w:adjustRightInd w:val="0"/>
        <w:spacing w:before="120" w:after="240"/>
        <w:jc w:val="center"/>
        <w:rPr>
          <w:rFonts w:eastAsia="Calibri"/>
          <w:color w:val="000000"/>
          <w:sz w:val="24"/>
          <w:szCs w:val="24"/>
          <w:lang w:eastAsia="pt-BR"/>
        </w:rPr>
      </w:pPr>
      <w:r w:rsidRPr="0045775B">
        <w:rPr>
          <w:rFonts w:eastAsia="Calibri"/>
          <w:color w:val="000000"/>
          <w:sz w:val="24"/>
          <w:szCs w:val="24"/>
          <w:lang w:eastAsia="pt-BR"/>
        </w:rPr>
        <w:t>Sala da Comissão, 26 de março de 2013.</w:t>
      </w:r>
    </w:p>
    <w:p w:rsidR="0045775B" w:rsidRPr="0045775B" w:rsidRDefault="0045775B" w:rsidP="0045775B">
      <w:pPr>
        <w:autoSpaceDE w:val="0"/>
        <w:autoSpaceDN w:val="0"/>
        <w:adjustRightInd w:val="0"/>
        <w:spacing w:before="120"/>
        <w:jc w:val="center"/>
        <w:rPr>
          <w:rFonts w:eastAsia="Calibri"/>
          <w:color w:val="000000"/>
          <w:sz w:val="24"/>
          <w:szCs w:val="24"/>
          <w:lang w:eastAsia="pt-BR"/>
        </w:rPr>
      </w:pPr>
      <w:r w:rsidRPr="0045775B">
        <w:rPr>
          <w:rFonts w:eastAsia="Calibri"/>
          <w:color w:val="000000"/>
          <w:sz w:val="24"/>
          <w:szCs w:val="24"/>
          <w:lang w:eastAsia="pt-BR"/>
        </w:rPr>
        <w:t>Guilherme Campos</w:t>
      </w:r>
    </w:p>
    <w:p w:rsidR="0045775B" w:rsidRPr="0045775B" w:rsidRDefault="0045775B" w:rsidP="0045775B">
      <w:pPr>
        <w:autoSpaceDE w:val="0"/>
        <w:autoSpaceDN w:val="0"/>
        <w:adjustRightInd w:val="0"/>
        <w:spacing w:before="120" w:after="240"/>
        <w:jc w:val="center"/>
        <w:rPr>
          <w:rFonts w:eastAsia="Calibri"/>
          <w:color w:val="000000"/>
          <w:sz w:val="24"/>
          <w:szCs w:val="24"/>
          <w:lang w:eastAsia="pt-BR"/>
        </w:rPr>
      </w:pPr>
      <w:r w:rsidRPr="0045775B">
        <w:rPr>
          <w:rFonts w:eastAsia="Calibri"/>
          <w:color w:val="000000"/>
          <w:sz w:val="24"/>
          <w:szCs w:val="24"/>
          <w:lang w:eastAsia="pt-BR"/>
        </w:rPr>
        <w:t>PSD/SP</w:t>
      </w:r>
    </w:p>
    <w:p w:rsidR="0045775B" w:rsidRPr="0045775B" w:rsidRDefault="0045775B" w:rsidP="0045775B">
      <w:pPr>
        <w:autoSpaceDE w:val="0"/>
        <w:autoSpaceDN w:val="0"/>
        <w:adjustRightInd w:val="0"/>
        <w:spacing w:before="120" w:after="240"/>
        <w:jc w:val="center"/>
        <w:rPr>
          <w:rFonts w:eastAsia="Calibri"/>
          <w:b/>
          <w:bCs/>
          <w:color w:val="000000"/>
          <w:sz w:val="24"/>
          <w:szCs w:val="24"/>
          <w:lang w:eastAsia="pt-BR"/>
        </w:rPr>
      </w:pPr>
      <w:r w:rsidRPr="0045775B">
        <w:rPr>
          <w:rFonts w:eastAsia="Calibri"/>
          <w:b/>
          <w:bCs/>
          <w:color w:val="000000"/>
          <w:sz w:val="24"/>
          <w:szCs w:val="24"/>
          <w:lang w:eastAsia="pt-BR"/>
        </w:rPr>
        <w:t>SUBSTITUTIVO AO PROJETO DE LEI Nº 6971/2010</w:t>
      </w:r>
    </w:p>
    <w:p w:rsidR="0045775B" w:rsidRPr="0045775B" w:rsidRDefault="0045775B" w:rsidP="0045775B">
      <w:pPr>
        <w:autoSpaceDE w:val="0"/>
        <w:autoSpaceDN w:val="0"/>
        <w:adjustRightInd w:val="0"/>
        <w:spacing w:after="240"/>
        <w:ind w:left="4820"/>
        <w:rPr>
          <w:rFonts w:eastAsia="Calibri"/>
          <w:color w:val="000000"/>
          <w:sz w:val="24"/>
          <w:szCs w:val="24"/>
          <w:lang w:eastAsia="pt-BR"/>
        </w:rPr>
      </w:pPr>
      <w:r w:rsidRPr="0045775B">
        <w:rPr>
          <w:rFonts w:eastAsia="Calibri"/>
          <w:color w:val="000000"/>
          <w:sz w:val="24"/>
          <w:szCs w:val="24"/>
          <w:lang w:eastAsia="pt-BR"/>
        </w:rPr>
        <w:t>Altera a redação do inciso IX do art. 6º e acrescenta o §8º ao mesmo dispositivo da Lei nº 10.826, de 22 de dezembro de 2003, que dispõe sobre o registro, posse e comercialização de armas de fogo e munição; sobre o Sistema Nacional de Armas – Sinarm; define crimes e dá outras providências.</w:t>
      </w:r>
    </w:p>
    <w:p w:rsidR="0045775B" w:rsidRPr="0045775B" w:rsidRDefault="0045775B" w:rsidP="0045775B">
      <w:pPr>
        <w:autoSpaceDE w:val="0"/>
        <w:autoSpaceDN w:val="0"/>
        <w:adjustRightInd w:val="0"/>
        <w:spacing w:before="120" w:after="240"/>
        <w:ind w:firstLine="1418"/>
        <w:rPr>
          <w:rFonts w:eastAsia="Calibri"/>
          <w:color w:val="000000"/>
          <w:sz w:val="24"/>
          <w:szCs w:val="24"/>
          <w:lang w:eastAsia="pt-BR"/>
        </w:rPr>
      </w:pPr>
      <w:r w:rsidRPr="0045775B">
        <w:rPr>
          <w:rFonts w:eastAsia="Calibri"/>
          <w:color w:val="000000"/>
          <w:sz w:val="24"/>
          <w:szCs w:val="24"/>
          <w:lang w:eastAsia="pt-BR"/>
        </w:rPr>
        <w:t xml:space="preserve">O Congresso Nacional decreta: </w:t>
      </w:r>
    </w:p>
    <w:p w:rsidR="0045775B" w:rsidRPr="0045775B" w:rsidRDefault="0045775B" w:rsidP="0045775B">
      <w:pPr>
        <w:autoSpaceDE w:val="0"/>
        <w:autoSpaceDN w:val="0"/>
        <w:adjustRightInd w:val="0"/>
        <w:spacing w:before="120" w:after="240"/>
        <w:ind w:firstLine="1418"/>
        <w:rPr>
          <w:rFonts w:eastAsia="Calibri"/>
          <w:color w:val="000000"/>
          <w:sz w:val="24"/>
          <w:szCs w:val="24"/>
          <w:lang w:eastAsia="pt-BR"/>
        </w:rPr>
      </w:pPr>
      <w:r w:rsidRPr="0045775B">
        <w:rPr>
          <w:rFonts w:eastAsia="Calibri"/>
          <w:color w:val="000000"/>
          <w:sz w:val="24"/>
          <w:szCs w:val="24"/>
          <w:lang w:eastAsia="pt-BR"/>
        </w:rPr>
        <w:lastRenderedPageBreak/>
        <w:t xml:space="preserve">Art. 1º O art. 6º, inciso IX, da Lei nº 10.826, de 22 de dezembro de 2003, passa a vigorar com a seguinte redação: </w:t>
      </w:r>
    </w:p>
    <w:p w:rsidR="0045775B" w:rsidRPr="0045775B" w:rsidRDefault="0045775B" w:rsidP="0045775B">
      <w:pPr>
        <w:autoSpaceDE w:val="0"/>
        <w:autoSpaceDN w:val="0"/>
        <w:adjustRightInd w:val="0"/>
        <w:spacing w:before="120" w:after="240"/>
        <w:ind w:left="709" w:firstLine="1418"/>
        <w:rPr>
          <w:rFonts w:eastAsia="Calibri"/>
          <w:color w:val="000000"/>
          <w:sz w:val="24"/>
          <w:szCs w:val="24"/>
          <w:lang w:eastAsia="pt-BR"/>
        </w:rPr>
      </w:pPr>
      <w:r w:rsidRPr="0045775B">
        <w:rPr>
          <w:rFonts w:eastAsia="Calibri"/>
          <w:color w:val="000000"/>
          <w:sz w:val="24"/>
          <w:szCs w:val="24"/>
          <w:lang w:eastAsia="pt-BR"/>
        </w:rPr>
        <w:t xml:space="preserve">“Art. 6º ................................................................................... </w:t>
      </w:r>
    </w:p>
    <w:p w:rsidR="0045775B" w:rsidRPr="0045775B" w:rsidRDefault="0045775B" w:rsidP="0045775B">
      <w:pPr>
        <w:autoSpaceDE w:val="0"/>
        <w:autoSpaceDN w:val="0"/>
        <w:adjustRightInd w:val="0"/>
        <w:spacing w:before="120" w:after="240"/>
        <w:ind w:left="709" w:firstLine="1418"/>
        <w:rPr>
          <w:rFonts w:eastAsia="Calibri"/>
          <w:color w:val="000000"/>
          <w:sz w:val="24"/>
          <w:szCs w:val="24"/>
          <w:lang w:eastAsia="pt-BR"/>
        </w:rPr>
      </w:pPr>
      <w:r w:rsidRPr="0045775B">
        <w:rPr>
          <w:rFonts w:eastAsia="Calibri"/>
          <w:color w:val="000000"/>
          <w:sz w:val="24"/>
          <w:szCs w:val="24"/>
          <w:lang w:eastAsia="pt-BR"/>
        </w:rPr>
        <w:t xml:space="preserve">............................................................................................... </w:t>
      </w:r>
    </w:p>
    <w:p w:rsidR="0045775B" w:rsidRPr="0045775B" w:rsidRDefault="0045775B" w:rsidP="0045775B">
      <w:pPr>
        <w:autoSpaceDE w:val="0"/>
        <w:autoSpaceDN w:val="0"/>
        <w:adjustRightInd w:val="0"/>
        <w:spacing w:before="120" w:after="240"/>
        <w:ind w:left="709" w:firstLine="1418"/>
        <w:rPr>
          <w:rFonts w:eastAsia="Calibri"/>
          <w:color w:val="000000"/>
          <w:sz w:val="24"/>
          <w:szCs w:val="24"/>
          <w:lang w:eastAsia="pt-BR"/>
        </w:rPr>
      </w:pPr>
      <w:r w:rsidRPr="0045775B">
        <w:rPr>
          <w:rFonts w:eastAsia="Calibri"/>
          <w:color w:val="000000"/>
          <w:sz w:val="24"/>
          <w:szCs w:val="24"/>
          <w:lang w:eastAsia="pt-BR"/>
        </w:rPr>
        <w:t xml:space="preserve">IX – os colecionadores, atiradores desportivos e caçadores regularmente registrados no Exército Brasileiro. </w:t>
      </w:r>
    </w:p>
    <w:p w:rsidR="0045775B" w:rsidRPr="0045775B" w:rsidRDefault="0045775B" w:rsidP="0045775B">
      <w:pPr>
        <w:autoSpaceDE w:val="0"/>
        <w:autoSpaceDN w:val="0"/>
        <w:adjustRightInd w:val="0"/>
        <w:spacing w:before="120" w:after="240"/>
        <w:ind w:left="709"/>
        <w:rPr>
          <w:rFonts w:eastAsia="Calibri"/>
          <w:color w:val="000000"/>
          <w:sz w:val="24"/>
          <w:szCs w:val="24"/>
          <w:lang w:eastAsia="pt-BR"/>
        </w:rPr>
      </w:pPr>
      <w:r w:rsidRPr="0045775B">
        <w:rPr>
          <w:rFonts w:eastAsia="Calibri"/>
          <w:color w:val="000000"/>
          <w:sz w:val="24"/>
          <w:szCs w:val="24"/>
          <w:lang w:eastAsia="pt-BR"/>
        </w:rPr>
        <w:t xml:space="preserve">................................................................................................”(NR) </w:t>
      </w:r>
    </w:p>
    <w:p w:rsidR="0045775B" w:rsidRPr="0045775B" w:rsidRDefault="0045775B" w:rsidP="0045775B">
      <w:pPr>
        <w:autoSpaceDE w:val="0"/>
        <w:autoSpaceDN w:val="0"/>
        <w:adjustRightInd w:val="0"/>
        <w:spacing w:before="120" w:after="240"/>
        <w:ind w:firstLine="1418"/>
        <w:rPr>
          <w:rFonts w:eastAsia="Calibri"/>
          <w:color w:val="000000"/>
          <w:sz w:val="24"/>
          <w:szCs w:val="24"/>
          <w:lang w:eastAsia="pt-BR"/>
        </w:rPr>
      </w:pPr>
      <w:r w:rsidRPr="0045775B">
        <w:rPr>
          <w:rFonts w:eastAsia="Calibri"/>
          <w:color w:val="000000"/>
          <w:sz w:val="24"/>
          <w:szCs w:val="24"/>
          <w:lang w:eastAsia="pt-BR"/>
        </w:rPr>
        <w:t xml:space="preserve">Art. 2º O art. 6º, da Lei nº 10.826, de 22 de dezembro de 2003, passa a vigorar acrescido do seguinte dispositivo: </w:t>
      </w:r>
    </w:p>
    <w:p w:rsidR="0045775B" w:rsidRPr="0045775B" w:rsidRDefault="0045775B" w:rsidP="0045775B">
      <w:pPr>
        <w:autoSpaceDE w:val="0"/>
        <w:autoSpaceDN w:val="0"/>
        <w:adjustRightInd w:val="0"/>
        <w:spacing w:before="120" w:after="240"/>
        <w:ind w:left="709" w:firstLine="1418"/>
        <w:rPr>
          <w:rFonts w:eastAsia="Calibri"/>
          <w:color w:val="000000"/>
          <w:sz w:val="24"/>
          <w:szCs w:val="24"/>
          <w:lang w:eastAsia="pt-BR"/>
        </w:rPr>
      </w:pPr>
      <w:r w:rsidRPr="0045775B">
        <w:rPr>
          <w:rFonts w:eastAsia="Calibri"/>
          <w:color w:val="000000"/>
          <w:sz w:val="24"/>
          <w:szCs w:val="24"/>
          <w:lang w:eastAsia="pt-BR"/>
        </w:rPr>
        <w:t xml:space="preserve">“Art. 6º ................................................................................... </w:t>
      </w:r>
    </w:p>
    <w:p w:rsidR="0045775B" w:rsidRPr="0045775B" w:rsidRDefault="0045775B" w:rsidP="0045775B">
      <w:pPr>
        <w:autoSpaceDE w:val="0"/>
        <w:autoSpaceDN w:val="0"/>
        <w:adjustRightInd w:val="0"/>
        <w:spacing w:before="120" w:after="240"/>
        <w:ind w:left="709" w:firstLine="1418"/>
        <w:rPr>
          <w:rFonts w:eastAsia="Calibri"/>
          <w:color w:val="000000"/>
          <w:sz w:val="24"/>
          <w:szCs w:val="24"/>
          <w:lang w:eastAsia="pt-BR"/>
        </w:rPr>
      </w:pPr>
      <w:r w:rsidRPr="0045775B">
        <w:rPr>
          <w:rFonts w:eastAsia="Calibri"/>
          <w:color w:val="000000"/>
          <w:sz w:val="24"/>
          <w:szCs w:val="24"/>
          <w:lang w:eastAsia="pt-BR"/>
        </w:rPr>
        <w:t xml:space="preserve">............................................................................................... </w:t>
      </w:r>
    </w:p>
    <w:p w:rsidR="0045775B" w:rsidRPr="0045775B" w:rsidRDefault="0045775B" w:rsidP="0045775B">
      <w:pPr>
        <w:autoSpaceDE w:val="0"/>
        <w:autoSpaceDN w:val="0"/>
        <w:adjustRightInd w:val="0"/>
        <w:spacing w:before="120" w:after="240"/>
        <w:ind w:left="709" w:firstLine="1418"/>
        <w:rPr>
          <w:rFonts w:eastAsia="Calibri"/>
          <w:color w:val="000000"/>
          <w:sz w:val="24"/>
          <w:szCs w:val="24"/>
          <w:lang w:eastAsia="pt-BR"/>
        </w:rPr>
      </w:pPr>
      <w:r w:rsidRPr="0045775B">
        <w:rPr>
          <w:rFonts w:eastAsia="Calibri"/>
          <w:color w:val="000000"/>
          <w:sz w:val="24"/>
          <w:szCs w:val="24"/>
          <w:lang w:eastAsia="pt-BR"/>
        </w:rPr>
        <w:t xml:space="preserve">§8º A autorização para o porte de arma previsto no inciso IX deste artigo, dispensado o atendimento ao disposto no inciso I, §1°, do art. 10, se dará mediante a comprovação do registro do portador perante o Exército Brasileiro e da inclusão da arma em seu acervo, sendo válido apenas para armas de fogo classificadas como de uso permitido.” (NR) </w:t>
      </w:r>
    </w:p>
    <w:p w:rsidR="0045775B" w:rsidRDefault="0045775B" w:rsidP="0045775B">
      <w:pPr>
        <w:autoSpaceDE w:val="0"/>
        <w:autoSpaceDN w:val="0"/>
        <w:adjustRightInd w:val="0"/>
        <w:spacing w:before="120" w:after="240"/>
        <w:ind w:firstLine="1418"/>
        <w:rPr>
          <w:rFonts w:eastAsia="Calibri"/>
          <w:color w:val="000000"/>
          <w:sz w:val="24"/>
          <w:szCs w:val="24"/>
          <w:lang w:eastAsia="pt-BR"/>
        </w:rPr>
      </w:pPr>
      <w:r w:rsidRPr="0045775B">
        <w:rPr>
          <w:rFonts w:eastAsia="Calibri"/>
          <w:color w:val="000000"/>
          <w:sz w:val="24"/>
          <w:szCs w:val="24"/>
          <w:lang w:eastAsia="pt-BR"/>
        </w:rPr>
        <w:t xml:space="preserve">Art. 3º Esta lei entra em vigor na data de sua publicação. </w:t>
      </w:r>
    </w:p>
    <w:p w:rsidR="00884911" w:rsidRPr="0045775B" w:rsidRDefault="00884911" w:rsidP="00884911">
      <w:pPr>
        <w:autoSpaceDE w:val="0"/>
        <w:autoSpaceDN w:val="0"/>
        <w:adjustRightInd w:val="0"/>
        <w:spacing w:before="120" w:after="240"/>
        <w:jc w:val="center"/>
        <w:rPr>
          <w:rFonts w:eastAsia="Calibri"/>
          <w:color w:val="000000"/>
          <w:sz w:val="24"/>
          <w:szCs w:val="24"/>
          <w:lang w:eastAsia="pt-BR"/>
        </w:rPr>
      </w:pPr>
      <w:r w:rsidRPr="0045775B">
        <w:rPr>
          <w:rFonts w:eastAsia="Calibri"/>
          <w:color w:val="000000"/>
          <w:sz w:val="24"/>
          <w:szCs w:val="24"/>
          <w:lang w:eastAsia="pt-BR"/>
        </w:rPr>
        <w:t>Sala da Comissão, 26 de março de 2013.</w:t>
      </w:r>
    </w:p>
    <w:p w:rsidR="00884911" w:rsidRPr="0045775B" w:rsidRDefault="00884911" w:rsidP="00884911">
      <w:pPr>
        <w:autoSpaceDE w:val="0"/>
        <w:autoSpaceDN w:val="0"/>
        <w:adjustRightInd w:val="0"/>
        <w:spacing w:before="120"/>
        <w:jc w:val="center"/>
        <w:rPr>
          <w:rFonts w:eastAsia="Calibri"/>
          <w:color w:val="000000"/>
          <w:sz w:val="24"/>
          <w:szCs w:val="24"/>
          <w:lang w:eastAsia="pt-BR"/>
        </w:rPr>
      </w:pPr>
      <w:r w:rsidRPr="0045775B">
        <w:rPr>
          <w:rFonts w:eastAsia="Calibri"/>
          <w:color w:val="000000"/>
          <w:sz w:val="24"/>
          <w:szCs w:val="24"/>
          <w:lang w:eastAsia="pt-BR"/>
        </w:rPr>
        <w:t>Guilherme Campos</w:t>
      </w:r>
    </w:p>
    <w:p w:rsidR="00884911" w:rsidRPr="0045775B" w:rsidRDefault="00884911" w:rsidP="00884911">
      <w:pPr>
        <w:autoSpaceDE w:val="0"/>
        <w:autoSpaceDN w:val="0"/>
        <w:adjustRightInd w:val="0"/>
        <w:spacing w:before="120" w:after="240"/>
        <w:jc w:val="center"/>
        <w:rPr>
          <w:rFonts w:eastAsia="Calibri"/>
          <w:color w:val="000000"/>
          <w:sz w:val="24"/>
          <w:szCs w:val="24"/>
          <w:lang w:eastAsia="pt-BR"/>
        </w:rPr>
      </w:pPr>
      <w:r w:rsidRPr="0045775B">
        <w:rPr>
          <w:rFonts w:eastAsia="Calibri"/>
          <w:color w:val="000000"/>
          <w:sz w:val="24"/>
          <w:szCs w:val="24"/>
          <w:lang w:eastAsia="pt-BR"/>
        </w:rPr>
        <w:t>PSD/SP</w:t>
      </w:r>
    </w:p>
    <w:p w:rsidR="0045775B" w:rsidRPr="0045775B" w:rsidRDefault="0045775B" w:rsidP="0045775B">
      <w:pPr>
        <w:pBdr>
          <w:top w:val="single" w:sz="4" w:space="1" w:color="auto"/>
          <w:left w:val="single" w:sz="4" w:space="4" w:color="auto"/>
          <w:bottom w:val="single" w:sz="4" w:space="1" w:color="auto"/>
          <w:right w:val="single" w:sz="4" w:space="4" w:color="auto"/>
        </w:pBdr>
        <w:jc w:val="center"/>
        <w:rPr>
          <w:b/>
          <w:sz w:val="22"/>
        </w:rPr>
      </w:pPr>
      <w:bookmarkStart w:id="3" w:name="z469624_FIMDOCUMENTO"/>
      <w:bookmarkEnd w:id="0"/>
      <w:r>
        <w:rPr>
          <w:b/>
          <w:sz w:val="22"/>
        </w:rPr>
        <w:t>FIM DO DOCUMENTO</w:t>
      </w:r>
      <w:bookmarkEnd w:id="3"/>
    </w:p>
    <w:sectPr w:rsidR="0045775B" w:rsidRPr="0045775B" w:rsidSect="0045775B">
      <w:headerReference w:type="even" r:id="rId18"/>
      <w:headerReference w:type="default" r:id="rId19"/>
      <w:footerReference w:type="even" r:id="rId20"/>
      <w:footerReference w:type="default" r:id="rId21"/>
      <w:footerReference w:type="first" r:id="rId22"/>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775B" w:rsidRDefault="0045775B" w:rsidP="0045775B">
      <w:r>
        <w:separator/>
      </w:r>
    </w:p>
  </w:endnote>
  <w:endnote w:type="continuationSeparator" w:id="0">
    <w:p w:rsidR="0045775B" w:rsidRDefault="0045775B" w:rsidP="00457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75B" w:rsidRDefault="0045775B" w:rsidP="0045775B">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P_5369</w:t>
    </w:r>
  </w:p>
  <w:p w:rsidR="0045775B" w:rsidRDefault="0045775B" w:rsidP="0045775B">
    <w:pPr>
      <w:pStyle w:val="Rodap"/>
      <w:jc w:val="center"/>
      <w:rPr>
        <w:rFonts w:ascii="Courier New" w:hAnsi="Courier New" w:cs="Courier New"/>
      </w:rPr>
    </w:pPr>
    <w:r>
      <w:rPr>
        <w:rFonts w:ascii="Courier New" w:hAnsi="Courier New" w:cs="Courier New"/>
      </w:rPr>
      <w:t>CONFERE COM O ORIGINAL AUTENTICADO</w:t>
    </w:r>
  </w:p>
  <w:p w:rsidR="0045775B" w:rsidRPr="0045775B" w:rsidRDefault="0045775B" w:rsidP="0045775B">
    <w:pPr>
      <w:pStyle w:val="Rodap"/>
      <w:jc w:val="center"/>
    </w:pPr>
    <w:r>
      <w:t>PL 6971/2010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75B" w:rsidRDefault="0045775B" w:rsidP="0045775B">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P_5369</w:t>
    </w:r>
  </w:p>
  <w:p w:rsidR="0045775B" w:rsidRDefault="0045775B" w:rsidP="0045775B">
    <w:pPr>
      <w:pStyle w:val="Rodap"/>
      <w:jc w:val="center"/>
      <w:rPr>
        <w:rFonts w:ascii="Courier New" w:hAnsi="Courier New" w:cs="Courier New"/>
      </w:rPr>
    </w:pPr>
    <w:r>
      <w:rPr>
        <w:rFonts w:ascii="Courier New" w:hAnsi="Courier New" w:cs="Courier New"/>
      </w:rPr>
      <w:t>CONFERE COM O ORIGINAL AUTENTICADO</w:t>
    </w:r>
  </w:p>
  <w:p w:rsidR="0045775B" w:rsidRPr="0045775B" w:rsidRDefault="0045775B" w:rsidP="0045775B">
    <w:pPr>
      <w:pStyle w:val="Rodap"/>
      <w:jc w:val="center"/>
    </w:pPr>
    <w:r>
      <w:t>PL 6971/2010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75B" w:rsidRDefault="0045775B" w:rsidP="0045775B">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P_5369</w:t>
    </w:r>
  </w:p>
  <w:p w:rsidR="0045775B" w:rsidRPr="0045775B" w:rsidRDefault="0045775B" w:rsidP="0045775B">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775B" w:rsidRDefault="0045775B" w:rsidP="0045775B">
      <w:r>
        <w:separator/>
      </w:r>
    </w:p>
  </w:footnote>
  <w:footnote w:type="continuationSeparator" w:id="0">
    <w:p w:rsidR="0045775B" w:rsidRDefault="0045775B" w:rsidP="0045775B">
      <w:r>
        <w:continuationSeparator/>
      </w:r>
    </w:p>
  </w:footnote>
  <w:footnote w:id="1">
    <w:p w:rsidR="0045775B" w:rsidRDefault="0045775B" w:rsidP="0045775B">
      <w:pPr>
        <w:pStyle w:val="Textodenotaderodap"/>
        <w:jc w:val="both"/>
        <w:rPr>
          <w:rFonts w:ascii="Arial" w:hAnsi="Arial"/>
        </w:rPr>
      </w:pPr>
      <w:r>
        <w:rPr>
          <w:rStyle w:val="Refdenotaderodap"/>
        </w:rPr>
        <w:footnoteRef/>
      </w:r>
      <w:r>
        <w:rPr>
          <w:rFonts w:ascii="Arial" w:hAnsi="Arial"/>
        </w:rPr>
        <w:t xml:space="preserve"> O Comando Logístico era chamado anteriormente Departamento de Material Bélico (DMB) e, depois, Departamento Logístico (D</w:t>
      </w:r>
      <w:r>
        <w:rPr>
          <w:rFonts w:ascii="Arial" w:hAnsi="Arial"/>
          <w:lang w:val="pt-BR"/>
        </w:rPr>
        <w:t xml:space="preserve"> </w:t>
      </w:r>
      <w:r>
        <w:rPr>
          <w:rFonts w:ascii="Arial" w:hAnsi="Arial"/>
        </w:rPr>
        <w:t>Log).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75B" w:rsidRPr="0045775B" w:rsidRDefault="0045775B" w:rsidP="0045775B">
    <w:pPr>
      <w:pStyle w:val="Cabealho"/>
      <w:jc w:val="left"/>
    </w:pPr>
    <w:r>
      <w:fldChar w:fldCharType="begin"/>
    </w:r>
    <w:r>
      <w:instrText xml:space="preserve"> PAGE  \* Arabic  \* MERGEFORMAT </w:instrText>
    </w:r>
    <w:r>
      <w:fldChar w:fldCharType="separate"/>
    </w:r>
    <w:r w:rsidR="000D6A89">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75B" w:rsidRPr="0045775B" w:rsidRDefault="0045775B" w:rsidP="0045775B">
    <w:pPr>
      <w:pStyle w:val="Cabealho"/>
      <w:jc w:val="right"/>
    </w:pPr>
    <w:r>
      <w:fldChar w:fldCharType="begin"/>
    </w:r>
    <w:r>
      <w:instrText xml:space="preserve"> PAGE  \* Arabic  \* MERGEFORMAT </w:instrText>
    </w:r>
    <w:r>
      <w:fldChar w:fldCharType="separate"/>
    </w:r>
    <w:r w:rsidR="000D6A89">
      <w:rPr>
        <w:noProof/>
      </w:rPr>
      <w:t>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775B"/>
    <w:rsid w:val="000D6A89"/>
    <w:rsid w:val="0045775B"/>
    <w:rsid w:val="00884911"/>
    <w:rsid w:val="00A80172"/>
    <w:rsid w:val="00BB21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notaderodap">
    <w:name w:val="footnote reference"/>
    <w:semiHidden/>
    <w:rsid w:val="0045775B"/>
    <w:rPr>
      <w:vertAlign w:val="superscript"/>
    </w:rPr>
  </w:style>
  <w:style w:type="paragraph" w:styleId="Textodenotaderodap">
    <w:name w:val="footnote text"/>
    <w:basedOn w:val="Normal"/>
    <w:link w:val="TextodenotaderodapChar"/>
    <w:semiHidden/>
    <w:rsid w:val="0045775B"/>
    <w:pPr>
      <w:jc w:val="left"/>
    </w:pPr>
    <w:rPr>
      <w:rFonts w:ascii="Times New Roman" w:eastAsia="Times New Roman" w:hAnsi="Times New Roman" w:cs="Times New Roman"/>
      <w:szCs w:val="20"/>
      <w:lang w:val="x-none" w:eastAsia="pt-BR"/>
    </w:rPr>
  </w:style>
  <w:style w:type="character" w:customStyle="1" w:styleId="TextodenotaderodapChar">
    <w:name w:val="Texto de nota de rodapé Char"/>
    <w:basedOn w:val="Fontepargpadro"/>
    <w:link w:val="Textodenotaderodap"/>
    <w:semiHidden/>
    <w:rsid w:val="0045775B"/>
    <w:rPr>
      <w:rFonts w:ascii="Times New Roman" w:eastAsia="Times New Roman" w:hAnsi="Times New Roman" w:cs="Times New Roman"/>
      <w:sz w:val="20"/>
      <w:szCs w:val="20"/>
      <w:lang w:val="x-none" w:eastAsia="pt-BR"/>
    </w:rPr>
  </w:style>
  <w:style w:type="paragraph" w:styleId="Textodebalo">
    <w:name w:val="Balloon Text"/>
    <w:basedOn w:val="Normal"/>
    <w:link w:val="TextodebaloChar"/>
    <w:uiPriority w:val="99"/>
    <w:semiHidden/>
    <w:unhideWhenUsed/>
    <w:rsid w:val="0045775B"/>
    <w:rPr>
      <w:rFonts w:ascii="Tahoma" w:hAnsi="Tahoma" w:cs="Tahoma"/>
      <w:sz w:val="16"/>
      <w:szCs w:val="16"/>
    </w:rPr>
  </w:style>
  <w:style w:type="character" w:customStyle="1" w:styleId="TextodebaloChar">
    <w:name w:val="Texto de balão Char"/>
    <w:basedOn w:val="Fontepargpadro"/>
    <w:link w:val="Textodebalo"/>
    <w:uiPriority w:val="99"/>
    <w:semiHidden/>
    <w:rsid w:val="0045775B"/>
    <w:rPr>
      <w:rFonts w:ascii="Tahoma" w:hAnsi="Tahoma" w:cs="Tahoma"/>
      <w:sz w:val="16"/>
      <w:szCs w:val="16"/>
    </w:rPr>
  </w:style>
  <w:style w:type="paragraph" w:styleId="Cabealho">
    <w:name w:val="header"/>
    <w:basedOn w:val="Normal"/>
    <w:link w:val="CabealhoChar"/>
    <w:uiPriority w:val="99"/>
    <w:unhideWhenUsed/>
    <w:rsid w:val="0045775B"/>
    <w:pPr>
      <w:tabs>
        <w:tab w:val="center" w:pos="4252"/>
        <w:tab w:val="right" w:pos="8504"/>
      </w:tabs>
    </w:pPr>
  </w:style>
  <w:style w:type="character" w:customStyle="1" w:styleId="CabealhoChar">
    <w:name w:val="Cabeçalho Char"/>
    <w:basedOn w:val="Fontepargpadro"/>
    <w:link w:val="Cabealho"/>
    <w:uiPriority w:val="99"/>
    <w:rsid w:val="0045775B"/>
    <w:rPr>
      <w:rFonts w:ascii="Arial" w:hAnsi="Arial" w:cs="Arial"/>
      <w:sz w:val="20"/>
    </w:rPr>
  </w:style>
  <w:style w:type="paragraph" w:styleId="Rodap">
    <w:name w:val="footer"/>
    <w:basedOn w:val="Normal"/>
    <w:link w:val="RodapChar"/>
    <w:uiPriority w:val="99"/>
    <w:unhideWhenUsed/>
    <w:rsid w:val="0045775B"/>
    <w:pPr>
      <w:tabs>
        <w:tab w:val="center" w:pos="4252"/>
        <w:tab w:val="right" w:pos="8504"/>
      </w:tabs>
    </w:pPr>
  </w:style>
  <w:style w:type="character" w:customStyle="1" w:styleId="RodapChar">
    <w:name w:val="Rodapé Char"/>
    <w:basedOn w:val="Fontepargpadro"/>
    <w:link w:val="Rodap"/>
    <w:uiPriority w:val="99"/>
    <w:rsid w:val="0045775B"/>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notaderodap">
    <w:name w:val="footnote reference"/>
    <w:semiHidden/>
    <w:rsid w:val="0045775B"/>
    <w:rPr>
      <w:vertAlign w:val="superscript"/>
    </w:rPr>
  </w:style>
  <w:style w:type="paragraph" w:styleId="Textodenotaderodap">
    <w:name w:val="footnote text"/>
    <w:basedOn w:val="Normal"/>
    <w:link w:val="TextodenotaderodapChar"/>
    <w:semiHidden/>
    <w:rsid w:val="0045775B"/>
    <w:pPr>
      <w:jc w:val="left"/>
    </w:pPr>
    <w:rPr>
      <w:rFonts w:ascii="Times New Roman" w:eastAsia="Times New Roman" w:hAnsi="Times New Roman" w:cs="Times New Roman"/>
      <w:szCs w:val="20"/>
      <w:lang w:val="x-none" w:eastAsia="pt-BR"/>
    </w:rPr>
  </w:style>
  <w:style w:type="character" w:customStyle="1" w:styleId="TextodenotaderodapChar">
    <w:name w:val="Texto de nota de rodapé Char"/>
    <w:basedOn w:val="Fontepargpadro"/>
    <w:link w:val="Textodenotaderodap"/>
    <w:semiHidden/>
    <w:rsid w:val="0045775B"/>
    <w:rPr>
      <w:rFonts w:ascii="Times New Roman" w:eastAsia="Times New Roman" w:hAnsi="Times New Roman" w:cs="Times New Roman"/>
      <w:sz w:val="20"/>
      <w:szCs w:val="20"/>
      <w:lang w:val="x-none" w:eastAsia="pt-BR"/>
    </w:rPr>
  </w:style>
  <w:style w:type="paragraph" w:styleId="Textodebalo">
    <w:name w:val="Balloon Text"/>
    <w:basedOn w:val="Normal"/>
    <w:link w:val="TextodebaloChar"/>
    <w:uiPriority w:val="99"/>
    <w:semiHidden/>
    <w:unhideWhenUsed/>
    <w:rsid w:val="0045775B"/>
    <w:rPr>
      <w:rFonts w:ascii="Tahoma" w:hAnsi="Tahoma" w:cs="Tahoma"/>
      <w:sz w:val="16"/>
      <w:szCs w:val="16"/>
    </w:rPr>
  </w:style>
  <w:style w:type="character" w:customStyle="1" w:styleId="TextodebaloChar">
    <w:name w:val="Texto de balão Char"/>
    <w:basedOn w:val="Fontepargpadro"/>
    <w:link w:val="Textodebalo"/>
    <w:uiPriority w:val="99"/>
    <w:semiHidden/>
    <w:rsid w:val="0045775B"/>
    <w:rPr>
      <w:rFonts w:ascii="Tahoma" w:hAnsi="Tahoma" w:cs="Tahoma"/>
      <w:sz w:val="16"/>
      <w:szCs w:val="16"/>
    </w:rPr>
  </w:style>
  <w:style w:type="paragraph" w:styleId="Cabealho">
    <w:name w:val="header"/>
    <w:basedOn w:val="Normal"/>
    <w:link w:val="CabealhoChar"/>
    <w:uiPriority w:val="99"/>
    <w:unhideWhenUsed/>
    <w:rsid w:val="0045775B"/>
    <w:pPr>
      <w:tabs>
        <w:tab w:val="center" w:pos="4252"/>
        <w:tab w:val="right" w:pos="8504"/>
      </w:tabs>
    </w:pPr>
  </w:style>
  <w:style w:type="character" w:customStyle="1" w:styleId="CabealhoChar">
    <w:name w:val="Cabeçalho Char"/>
    <w:basedOn w:val="Fontepargpadro"/>
    <w:link w:val="Cabealho"/>
    <w:uiPriority w:val="99"/>
    <w:rsid w:val="0045775B"/>
    <w:rPr>
      <w:rFonts w:ascii="Arial" w:hAnsi="Arial" w:cs="Arial"/>
      <w:sz w:val="20"/>
    </w:rPr>
  </w:style>
  <w:style w:type="paragraph" w:styleId="Rodap">
    <w:name w:val="footer"/>
    <w:basedOn w:val="Normal"/>
    <w:link w:val="RodapChar"/>
    <w:uiPriority w:val="99"/>
    <w:unhideWhenUsed/>
    <w:rsid w:val="0045775B"/>
    <w:pPr>
      <w:tabs>
        <w:tab w:val="center" w:pos="4252"/>
        <w:tab w:val="right" w:pos="8504"/>
      </w:tabs>
    </w:pPr>
  </w:style>
  <w:style w:type="character" w:customStyle="1" w:styleId="RodapChar">
    <w:name w:val="Rodapé Char"/>
    <w:basedOn w:val="Fontepargpadro"/>
    <w:link w:val="Rodap"/>
    <w:uiPriority w:val="99"/>
    <w:rsid w:val="0045775B"/>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camara.gov.br/internet/legislacao/legin.html/textos/visualizarTexto.html?ideNorma=536906&amp;seqTexto=28478&amp;PalavrasDestaque=" TargetMode="External"/><Relationship Id="rId13" Type="http://schemas.openxmlformats.org/officeDocument/2006/relationships/hyperlink" Target="http://www2.camara.gov.br/internet/legislacao/legin.html/textos/visualizarTexto.html?ideNorma=576772&amp;seqTexto=99903&amp;PalavrasDestaque="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www2.camara.gov.br/internet/legislacao/legin.html/textos/visualizarTexto.html?ideNorma=576772&amp;seqTexto=99903&amp;PalavrasDestaque=" TargetMode="External"/><Relationship Id="rId17" Type="http://schemas.openxmlformats.org/officeDocument/2006/relationships/hyperlink" Target="http://www.dfpc.eb.mil.br/institucional/legislacao/armasFogoAval_Tec/PORTARIA_014_DMB.PDF" TargetMode="External"/><Relationship Id="rId2" Type="http://schemas.microsoft.com/office/2007/relationships/stylesWithEffects" Target="stylesWithEffects.xml"/><Relationship Id="rId16" Type="http://schemas.openxmlformats.org/officeDocument/2006/relationships/hyperlink" Target="http://www2.camara.gov.br/internet/legislacao/legin.html/textos/visualizarTexto.html?ideNorma=576772&amp;seqTexto=99903&amp;PalavrasDestaque="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2.camara.gov.br/internet/legislacao/legin.html/textos/visualizarTexto.html?ideNorma=576772&amp;seqTexto=99903&amp;PalavrasDestaque="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2.camara.gov.br/internet/legislacao/legin.html/textos/visualizarTexto.html?ideNorma=576772&amp;seqTexto=99903&amp;PalavrasDestaque=" TargetMode="External"/><Relationship Id="rId23" Type="http://schemas.openxmlformats.org/officeDocument/2006/relationships/fontTable" Target="fontTable.xml"/><Relationship Id="rId10" Type="http://schemas.openxmlformats.org/officeDocument/2006/relationships/hyperlink" Target="http://www2.camara.gov.br/internet/legislacao/legin.html/textos/visualizarTexto.html?ideNorma=536906&amp;seqTexto=28478&amp;PalavrasDestaque="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2.camara.gov.br/internet/legislacao/legin.html/textos/visualizarTexto.html?ideNorma=576772&amp;seqTexto=99903&amp;PalavrasDestaque=" TargetMode="External"/><Relationship Id="rId14" Type="http://schemas.openxmlformats.org/officeDocument/2006/relationships/hyperlink" Target="http://www2.camara.gov.br/internet/legislacao/legin.html/textos/visualizarTexto.html?ideNorma=532278&amp;seqTexto=14217&amp;PalavrasDestaque=" TargetMode="External"/><Relationship Id="rId22" Type="http://schemas.openxmlformats.org/officeDocument/2006/relationships/footer" Target="footer3.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5806</Words>
  <Characters>32400</Characters>
  <Application>Microsoft Office Word</Application>
  <DocSecurity>0</DocSecurity>
  <Lines>648</Lines>
  <Paragraphs>254</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37952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Kátia Regina Carmona Scalia</dc:creator>
  <cp:keywords/>
  <dc:description/>
  <cp:lastModifiedBy>Câmara dos Deputados</cp:lastModifiedBy>
  <cp:revision>3</cp:revision>
  <dcterms:created xsi:type="dcterms:W3CDTF">2015-07-01T21:42:00Z</dcterms:created>
  <dcterms:modified xsi:type="dcterms:W3CDTF">2015-07-01T23:32:00Z</dcterms:modified>
</cp:coreProperties>
</file>