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4D3" w:rsidRDefault="00F540D1" w:rsidP="00F618A2">
      <w:pPr>
        <w:jc w:val="center"/>
      </w:pPr>
      <w:bookmarkStart w:id="0" w:name="z1049319_BRASAO"/>
      <w:bookmarkStart w:id="1" w:name="z1049319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5826" cy="1656272"/>
                <wp:effectExtent l="0" t="0" r="0" b="127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826" cy="1656272"/>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540D1" w:rsidRPr="00F540D1" w:rsidRDefault="00F540D1">
                            <w:pPr>
                              <w:rPr>
                                <w:rFonts w:ascii="Times New Roman" w:hAnsi="Times New Roman" w:cs="Times New Roman"/>
                                <w:sz w:val="34"/>
                              </w:rPr>
                            </w:pPr>
                            <w:r w:rsidRPr="00F540D1">
                              <w:rPr>
                                <w:rFonts w:ascii="3 of 9 Barcode" w:hAnsi="3 of 9 Barcode"/>
                                <w:sz w:val="34"/>
                              </w:rPr>
                              <w:t>*C0052077A*</w:t>
                            </w:r>
                            <w:bookmarkStart w:id="2" w:name="_GoBack"/>
                          </w:p>
                          <w:bookmarkEnd w:id="2"/>
                          <w:p w:rsidR="00F540D1" w:rsidRPr="00F540D1" w:rsidRDefault="00F540D1">
                            <w:pPr>
                              <w:rPr>
                                <w:rFonts w:ascii="Times New Roman" w:hAnsi="Times New Roman" w:cs="Times New Roman"/>
                              </w:rPr>
                            </w:pPr>
                            <w:r>
                              <w:rPr>
                                <w:rFonts w:ascii="Times New Roman" w:hAnsi="Times New Roman" w:cs="Times New Roman"/>
                              </w:rPr>
                              <w:t>C0052077A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pt;height:130.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" filled="f" stroked="f" strokeweight=".5pt">
                <v:fill o:detectmouseclick="t"/>
                <v:stroke joinstyle="round"/>
                <v:path arrowok="t"/>
                <v:textbox style="layout-flow:vertical;mso-layout-flow-alt:bottom-to-top" inset="7.09pt,3.69pt,7.09pt,3.69pt">
                  <w:txbxContent>
                    <w:p w:rsidR="00F540D1" w:rsidRPr="00F540D1" w:rsidRDefault="00F540D1">
                      <w:pPr>
                        <w:rPr>
                          <w:rFonts w:ascii="Times New Roman" w:hAnsi="Times New Roman" w:cs="Times New Roman"/>
                          <w:sz w:val="34"/>
                        </w:rPr>
                      </w:pPr>
                      <w:r w:rsidRPr="00F540D1">
                        <w:rPr>
                          <w:rFonts w:ascii="3 of 9 Barcode" w:hAnsi="3 of 9 Barcode"/>
                          <w:sz w:val="34"/>
                        </w:rPr>
                        <w:t>*C0052077A*</w:t>
                      </w:r>
                      <w:bookmarkStart w:id="3" w:name="_GoBack"/>
                    </w:p>
                    <w:bookmarkEnd w:id="3"/>
                    <w:p w:rsidR="00F540D1" w:rsidRPr="00F540D1" w:rsidRDefault="00F540D1">
                      <w:pPr>
                        <w:rPr>
                          <w:rFonts w:ascii="Times New Roman" w:hAnsi="Times New Roman" w:cs="Times New Roman"/>
                        </w:rPr>
                      </w:pPr>
                      <w:r>
                        <w:rPr>
                          <w:rFonts w:ascii="Times New Roman" w:hAnsi="Times New Roman" w:cs="Times New Roman"/>
                        </w:rPr>
                        <w:t>C0052077A</w:t>
                      </w:r>
                    </w:p>
                  </w:txbxContent>
                </v:textbox>
                <w10:wrap anchorx="page" anchory="page"/>
              </v:shape>
            </w:pict>
          </mc:Fallback>
        </mc:AlternateContent>
      </w:r>
      <w:r w:rsidR="00F618A2">
        <w:rPr>
          <w:noProof/>
          <w:lang w:eastAsia="pt-BR"/>
        </w:rPr>
        <w:drawing>
          <wp:inline distT="0" distB="0" distL="0" distR="0" wp14:anchorId="482B1EB7" wp14:editId="39463264">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F618A2" w:rsidRDefault="00F618A2" w:rsidP="00F618A2">
      <w:pPr>
        <w:jc w:val="center"/>
        <w:rPr>
          <w:b/>
          <w:sz w:val="24"/>
        </w:rPr>
      </w:pPr>
      <w:r>
        <w:rPr>
          <w:b/>
          <w:sz w:val="24"/>
        </w:rPr>
        <w:t>CÂMARA DOS DEPUTADOS</w:t>
      </w:r>
    </w:p>
    <w:bookmarkEnd w:id="0"/>
    <w:p w:rsidR="00F618A2" w:rsidRDefault="00F618A2" w:rsidP="00F618A2">
      <w:pPr>
        <w:rPr>
          <w:sz w:val="24"/>
        </w:rPr>
      </w:pPr>
    </w:p>
    <w:p w:rsidR="00F618A2" w:rsidRDefault="00F618A2" w:rsidP="00F618A2">
      <w:pPr>
        <w:keepNext/>
        <w:keepLines/>
        <w:jc w:val="center"/>
        <w:rPr>
          <w:b/>
          <w:sz w:val="44"/>
        </w:rPr>
      </w:pPr>
      <w:bookmarkStart w:id="4" w:name="z1049319_TITULO"/>
      <w:r>
        <w:rPr>
          <w:b/>
          <w:sz w:val="44"/>
        </w:rPr>
        <w:t>PROJETO DE LEI N.º 833, DE 2015</w:t>
      </w:r>
      <w:bookmarkEnd w:id="4"/>
    </w:p>
    <w:p w:rsidR="00F618A2" w:rsidRDefault="00F618A2" w:rsidP="00F618A2">
      <w:pPr>
        <w:keepLines/>
        <w:jc w:val="center"/>
        <w:rPr>
          <w:b/>
          <w:sz w:val="28"/>
        </w:rPr>
      </w:pPr>
      <w:bookmarkStart w:id="5" w:name="z1049319_AUTOR"/>
      <w:r>
        <w:rPr>
          <w:b/>
          <w:sz w:val="28"/>
        </w:rPr>
        <w:t>(Do Sr. Fabio Garcia)</w:t>
      </w:r>
      <w:bookmarkEnd w:id="5"/>
    </w:p>
    <w:p w:rsidR="00F618A2" w:rsidRDefault="00F618A2" w:rsidP="00F618A2">
      <w:pPr>
        <w:keepLines/>
        <w:jc w:val="center"/>
        <w:rPr>
          <w:b/>
          <w:sz w:val="28"/>
        </w:rPr>
      </w:pPr>
    </w:p>
    <w:p w:rsidR="00F618A2" w:rsidRDefault="00F618A2" w:rsidP="00F618A2">
      <w:pPr>
        <w:rPr>
          <w:sz w:val="28"/>
        </w:rPr>
      </w:pPr>
      <w:bookmarkStart w:id="6" w:name="z1049319_EMENTA"/>
      <w:r>
        <w:rPr>
          <w:sz w:val="28"/>
        </w:rPr>
        <w:t xml:space="preserve">Acrescenta dispositivo ao artigo 20 da Lei nº 8.036, de 11 de maio de 1990, para permitir a movimentação da conta vinculada do FGTS para aquisição e instalação de equipamentos para geração de energia elétrica pela </w:t>
      </w:r>
      <w:proofErr w:type="spellStart"/>
      <w:r>
        <w:rPr>
          <w:sz w:val="28"/>
        </w:rPr>
        <w:t>minigeração</w:t>
      </w:r>
      <w:proofErr w:type="spellEnd"/>
      <w:r>
        <w:rPr>
          <w:sz w:val="28"/>
        </w:rPr>
        <w:t xml:space="preserve"> distribuída, pela </w:t>
      </w:r>
      <w:proofErr w:type="spellStart"/>
      <w:r>
        <w:rPr>
          <w:sz w:val="28"/>
        </w:rPr>
        <w:t>microgeração</w:t>
      </w:r>
      <w:proofErr w:type="spellEnd"/>
      <w:r>
        <w:rPr>
          <w:sz w:val="28"/>
        </w:rPr>
        <w:t xml:space="preserve"> distribuída, e pela geração fotovoltaica.</w:t>
      </w:r>
      <w:bookmarkEnd w:id="6"/>
    </w:p>
    <w:p w:rsidR="00F618A2" w:rsidRDefault="00F618A2" w:rsidP="00F618A2">
      <w:pPr>
        <w:rPr>
          <w:sz w:val="28"/>
        </w:rPr>
      </w:pPr>
    </w:p>
    <w:p w:rsidR="00F618A2" w:rsidRDefault="00F618A2" w:rsidP="00F618A2">
      <w:pPr>
        <w:pBdr>
          <w:top w:val="single" w:sz="4" w:space="1" w:color="auto"/>
          <w:left w:val="single" w:sz="4" w:space="4" w:color="auto"/>
          <w:bottom w:val="single" w:sz="4" w:space="1" w:color="auto"/>
          <w:right w:val="single" w:sz="4" w:space="4" w:color="auto"/>
        </w:pBdr>
        <w:rPr>
          <w:b/>
          <w:sz w:val="28"/>
        </w:rPr>
      </w:pPr>
      <w:bookmarkStart w:id="7" w:name="z1049319_DESPACHO"/>
    </w:p>
    <w:p w:rsidR="00F618A2" w:rsidRDefault="00F618A2" w:rsidP="00F618A2">
      <w:pPr>
        <w:pBdr>
          <w:top w:val="single" w:sz="4" w:space="1" w:color="auto"/>
          <w:left w:val="single" w:sz="4" w:space="4" w:color="auto"/>
          <w:bottom w:val="single" w:sz="4" w:space="1" w:color="auto"/>
          <w:right w:val="single" w:sz="4" w:space="4" w:color="auto"/>
        </w:pBdr>
        <w:rPr>
          <w:b/>
          <w:sz w:val="28"/>
        </w:rPr>
      </w:pPr>
      <w:r>
        <w:rPr>
          <w:b/>
          <w:sz w:val="28"/>
        </w:rPr>
        <w:t>DESPACHO:</w:t>
      </w:r>
    </w:p>
    <w:p w:rsidR="00F618A2" w:rsidRDefault="00F618A2" w:rsidP="00F618A2">
      <w:pPr>
        <w:pBdr>
          <w:top w:val="single" w:sz="4" w:space="1" w:color="auto"/>
          <w:left w:val="single" w:sz="4" w:space="4" w:color="auto"/>
          <w:bottom w:val="single" w:sz="4" w:space="1" w:color="auto"/>
          <w:right w:val="single" w:sz="4" w:space="4" w:color="auto"/>
        </w:pBdr>
        <w:rPr>
          <w:sz w:val="28"/>
        </w:rPr>
      </w:pPr>
      <w:r>
        <w:rPr>
          <w:sz w:val="28"/>
        </w:rPr>
        <w:t xml:space="preserve">APENSE-SE À(AO) PL-830/2015. </w:t>
      </w:r>
    </w:p>
    <w:p w:rsidR="00F618A2" w:rsidRDefault="00F618A2" w:rsidP="00F618A2">
      <w:pPr>
        <w:pBdr>
          <w:top w:val="single" w:sz="4" w:space="1" w:color="auto"/>
          <w:left w:val="single" w:sz="4" w:space="4" w:color="auto"/>
          <w:bottom w:val="single" w:sz="4" w:space="1" w:color="auto"/>
          <w:right w:val="single" w:sz="4" w:space="4" w:color="auto"/>
        </w:pBdr>
        <w:rPr>
          <w:sz w:val="28"/>
        </w:rPr>
      </w:pPr>
    </w:p>
    <w:p w:rsidR="00F618A2" w:rsidRDefault="00F618A2" w:rsidP="00F618A2">
      <w:pPr>
        <w:pBdr>
          <w:top w:val="single" w:sz="4" w:space="1" w:color="auto"/>
          <w:left w:val="single" w:sz="4" w:space="4" w:color="auto"/>
          <w:bottom w:val="single" w:sz="4" w:space="1" w:color="auto"/>
          <w:right w:val="single" w:sz="4" w:space="4" w:color="auto"/>
        </w:pBdr>
        <w:rPr>
          <w:b/>
          <w:sz w:val="28"/>
        </w:rPr>
      </w:pPr>
      <w:bookmarkStart w:id="8" w:name="z1049319_APRECIACAO"/>
      <w:bookmarkEnd w:id="7"/>
      <w:r>
        <w:rPr>
          <w:b/>
          <w:sz w:val="28"/>
        </w:rPr>
        <w:t>APRECIAÇÃO:</w:t>
      </w:r>
    </w:p>
    <w:p w:rsidR="00F618A2" w:rsidRDefault="00F618A2" w:rsidP="00F618A2">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F618A2" w:rsidRDefault="00F618A2" w:rsidP="00F618A2">
      <w:pPr>
        <w:pBdr>
          <w:top w:val="single" w:sz="4" w:space="1" w:color="auto"/>
          <w:left w:val="single" w:sz="4" w:space="4" w:color="auto"/>
          <w:bottom w:val="single" w:sz="4" w:space="1" w:color="auto"/>
          <w:right w:val="single" w:sz="4" w:space="4" w:color="auto"/>
        </w:pBdr>
        <w:rPr>
          <w:sz w:val="28"/>
        </w:rPr>
      </w:pPr>
    </w:p>
    <w:bookmarkEnd w:id="8"/>
    <w:p w:rsidR="00F618A2" w:rsidRDefault="00F618A2" w:rsidP="00F618A2">
      <w:pPr>
        <w:rPr>
          <w:sz w:val="28"/>
        </w:rPr>
      </w:pPr>
    </w:p>
    <w:p w:rsidR="00F618A2" w:rsidRDefault="00F618A2" w:rsidP="00F618A2">
      <w:pPr>
        <w:jc w:val="center"/>
        <w:rPr>
          <w:b/>
          <w:sz w:val="28"/>
        </w:rPr>
      </w:pPr>
      <w:bookmarkStart w:id="9" w:name="z1049319_PUBINICIAL"/>
      <w:r>
        <w:rPr>
          <w:b/>
          <w:sz w:val="28"/>
        </w:rPr>
        <w:t>PUBLICAÇÃO INICIAL</w:t>
      </w:r>
    </w:p>
    <w:p w:rsidR="00F618A2" w:rsidRDefault="00F618A2" w:rsidP="00F618A2">
      <w:pPr>
        <w:jc w:val="center"/>
        <w:rPr>
          <w:b/>
        </w:rPr>
      </w:pPr>
      <w:r>
        <w:rPr>
          <w:b/>
        </w:rPr>
        <w:t>Art. 137, caput - RICD</w:t>
      </w:r>
    </w:p>
    <w:p w:rsidR="00F618A2" w:rsidRDefault="00F618A2">
      <w:pPr>
        <w:spacing w:after="200" w:line="276" w:lineRule="auto"/>
        <w:jc w:val="left"/>
        <w:rPr>
          <w:b/>
        </w:rPr>
      </w:pPr>
      <w:r>
        <w:rPr>
          <w:b/>
        </w:rPr>
        <w:br w:type="page"/>
      </w:r>
    </w:p>
    <w:p w:rsidR="00F618A2" w:rsidRPr="00F618A2" w:rsidRDefault="00F618A2" w:rsidP="00F618A2">
      <w:pPr>
        <w:widowControl w:val="0"/>
        <w:spacing w:before="120" w:after="120" w:line="360" w:lineRule="auto"/>
        <w:ind w:firstLine="2302"/>
        <w:rPr>
          <w:rFonts w:ascii="Times New Roman" w:eastAsia="Times New Roman" w:hAnsi="Times New Roman" w:cs="Times New Roman"/>
          <w:color w:val="000000"/>
          <w:szCs w:val="20"/>
          <w:lang w:eastAsia="pt-BR"/>
        </w:rPr>
      </w:pPr>
      <w:bookmarkStart w:id="10" w:name="z1049319_1311352_TEOR"/>
      <w:bookmarkEnd w:id="9"/>
      <w:r w:rsidRPr="00F618A2">
        <w:rPr>
          <w:rFonts w:eastAsia="Arial"/>
          <w:color w:val="000000"/>
          <w:sz w:val="24"/>
          <w:szCs w:val="20"/>
          <w:lang w:eastAsia="pt-BR"/>
        </w:rPr>
        <w:lastRenderedPageBreak/>
        <w:t>O</w:t>
      </w:r>
      <w:r w:rsidRPr="00F618A2">
        <w:rPr>
          <w:rFonts w:eastAsia="Arial"/>
          <w:b/>
          <w:color w:val="000000"/>
          <w:sz w:val="24"/>
          <w:szCs w:val="20"/>
          <w:lang w:eastAsia="pt-BR"/>
        </w:rPr>
        <w:t xml:space="preserve"> </w:t>
      </w:r>
      <w:r w:rsidRPr="00F618A2">
        <w:rPr>
          <w:rFonts w:eastAsia="Arial"/>
          <w:color w:val="000000"/>
          <w:sz w:val="24"/>
          <w:szCs w:val="20"/>
          <w:lang w:eastAsia="pt-BR"/>
        </w:rPr>
        <w:t>Congresso Nacional</w:t>
      </w:r>
      <w:r w:rsidRPr="00F618A2">
        <w:rPr>
          <w:rFonts w:eastAsia="Arial"/>
          <w:b/>
          <w:color w:val="000000"/>
          <w:sz w:val="24"/>
          <w:szCs w:val="20"/>
          <w:lang w:eastAsia="pt-BR"/>
        </w:rPr>
        <w:t xml:space="preserve"> </w:t>
      </w:r>
      <w:r w:rsidRPr="00F618A2">
        <w:rPr>
          <w:rFonts w:eastAsia="Arial"/>
          <w:color w:val="000000"/>
          <w:sz w:val="24"/>
          <w:szCs w:val="20"/>
          <w:lang w:eastAsia="pt-BR"/>
        </w:rPr>
        <w:t>decreta:</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Art. 1º. O artigo 20 da Lei nº 8.036, de 11 de maio de 1990, passa a vigorar acrescido do seguinte inciso XVIII:</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“Art. 20 ...............................................................................</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XVIII - Aquisição e instalação de equipamentos para geração de energia elétrica pela </w:t>
      </w:r>
      <w:proofErr w:type="spellStart"/>
      <w:r w:rsidRPr="00F618A2">
        <w:rPr>
          <w:rFonts w:eastAsia="Arial"/>
          <w:color w:val="000000"/>
          <w:sz w:val="24"/>
          <w:szCs w:val="20"/>
          <w:lang w:eastAsia="pt-BR"/>
        </w:rPr>
        <w:t>minigeração</w:t>
      </w:r>
      <w:proofErr w:type="spellEnd"/>
      <w:r w:rsidRPr="00F618A2">
        <w:rPr>
          <w:rFonts w:eastAsia="Arial"/>
          <w:color w:val="000000"/>
          <w:sz w:val="24"/>
          <w:szCs w:val="20"/>
          <w:lang w:eastAsia="pt-BR"/>
        </w:rPr>
        <w:t xml:space="preserve"> distribuída, pela </w:t>
      </w:r>
      <w:proofErr w:type="spellStart"/>
      <w:r w:rsidRPr="00F618A2">
        <w:rPr>
          <w:rFonts w:eastAsia="Arial"/>
          <w:color w:val="000000"/>
          <w:sz w:val="24"/>
          <w:szCs w:val="20"/>
          <w:lang w:eastAsia="pt-BR"/>
        </w:rPr>
        <w:t>microgeração</w:t>
      </w:r>
      <w:proofErr w:type="spellEnd"/>
      <w:r w:rsidRPr="00F618A2">
        <w:rPr>
          <w:rFonts w:eastAsia="Arial"/>
          <w:color w:val="000000"/>
          <w:sz w:val="24"/>
          <w:szCs w:val="20"/>
          <w:lang w:eastAsia="pt-BR"/>
        </w:rPr>
        <w:t xml:space="preserve"> distribuída, e pela geração fotovoltaica..</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Art. 2º. Esta lei entra em vigor na data de sua publicação.</w:t>
      </w:r>
    </w:p>
    <w:p w:rsidR="00F618A2" w:rsidRPr="00022163" w:rsidRDefault="00F618A2" w:rsidP="00F618A2">
      <w:pPr>
        <w:spacing w:before="120" w:after="120" w:line="360" w:lineRule="auto"/>
        <w:jc w:val="center"/>
        <w:rPr>
          <w:rFonts w:ascii="Times New Roman" w:eastAsia="Times New Roman" w:hAnsi="Times New Roman" w:cs="Times New Roman"/>
          <w:color w:val="000000"/>
          <w:sz w:val="24"/>
          <w:szCs w:val="24"/>
          <w:lang w:eastAsia="pt-BR"/>
        </w:rPr>
      </w:pPr>
      <w:r w:rsidRPr="00022163">
        <w:rPr>
          <w:rFonts w:eastAsia="Arial"/>
          <w:b/>
          <w:smallCaps/>
          <w:color w:val="000000"/>
          <w:sz w:val="24"/>
          <w:szCs w:val="24"/>
          <w:lang w:eastAsia="pt-BR"/>
        </w:rPr>
        <w:t>JUSTIFICATIVA</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Desde 17 de abril de 2012, quando entrou em vigor a Resolução Normativa ANEEL nº 482/2012, o consumidor brasileiro pode gerar sua própria energia elétrica a partir de fontes renováveis e inclusive fornecer o excedente para a rede de distribuição de sua localidade. Trata-se da micro e da </w:t>
      </w:r>
      <w:proofErr w:type="spellStart"/>
      <w:r w:rsidRPr="00F618A2">
        <w:rPr>
          <w:rFonts w:eastAsia="Arial"/>
          <w:color w:val="000000"/>
          <w:sz w:val="24"/>
          <w:szCs w:val="20"/>
          <w:lang w:eastAsia="pt-BR"/>
        </w:rPr>
        <w:t>minigeração</w:t>
      </w:r>
      <w:proofErr w:type="spellEnd"/>
      <w:r w:rsidRPr="00F618A2">
        <w:rPr>
          <w:rFonts w:eastAsia="Arial"/>
          <w:color w:val="000000"/>
          <w:sz w:val="24"/>
          <w:szCs w:val="20"/>
          <w:lang w:eastAsia="pt-BR"/>
        </w:rPr>
        <w:t xml:space="preserve"> distribuídas de energia elétrica, inovações que podem aliar economia financeira, consciência socioambiental e </w:t>
      </w:r>
      <w:proofErr w:type="spellStart"/>
      <w:r w:rsidRPr="00F618A2">
        <w:rPr>
          <w:rFonts w:eastAsia="Arial"/>
          <w:color w:val="000000"/>
          <w:sz w:val="24"/>
          <w:szCs w:val="20"/>
          <w:lang w:eastAsia="pt-BR"/>
        </w:rPr>
        <w:t>autossustentabilidade</w:t>
      </w:r>
      <w:proofErr w:type="spellEnd"/>
      <w:r w:rsidRPr="00F618A2">
        <w:rPr>
          <w:rFonts w:eastAsia="Arial"/>
          <w:color w:val="000000"/>
          <w:sz w:val="24"/>
          <w:szCs w:val="20"/>
          <w:lang w:eastAsia="pt-BR"/>
        </w:rPr>
        <w:t>.</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Os estímulos à geração distribuída se justificam pelos potenciais benefícios que tal modalidade pode proporcionar ao sistema elétrico. Entre eles, estão o adiamento de investimentos em expansão dos sistemas de transmissão e distribuição, o baixo impacto ambiental, a redução no carregamento das redes, a minimização das perdas e a diversificação da matriz energética.</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De acordo com a resolução citada, os </w:t>
      </w:r>
      <w:proofErr w:type="spellStart"/>
      <w:r w:rsidRPr="00F618A2">
        <w:rPr>
          <w:rFonts w:eastAsia="Arial"/>
          <w:color w:val="000000"/>
          <w:sz w:val="24"/>
          <w:szCs w:val="20"/>
          <w:lang w:eastAsia="pt-BR"/>
        </w:rPr>
        <w:t>microgeradores</w:t>
      </w:r>
      <w:proofErr w:type="spellEnd"/>
      <w:r w:rsidRPr="00F618A2">
        <w:rPr>
          <w:rFonts w:eastAsia="Arial"/>
          <w:color w:val="000000"/>
          <w:sz w:val="24"/>
          <w:szCs w:val="20"/>
          <w:lang w:eastAsia="pt-BR"/>
        </w:rPr>
        <w:t xml:space="preserve"> são aqueles com potência instalada menor ou igual a 100 quilowatts (kW), e os </w:t>
      </w:r>
      <w:proofErr w:type="spellStart"/>
      <w:r w:rsidRPr="00F618A2">
        <w:rPr>
          <w:rFonts w:eastAsia="Arial"/>
          <w:color w:val="000000"/>
          <w:sz w:val="24"/>
          <w:szCs w:val="20"/>
          <w:lang w:eastAsia="pt-BR"/>
        </w:rPr>
        <w:t>minigeradores</w:t>
      </w:r>
      <w:proofErr w:type="spellEnd"/>
      <w:r w:rsidRPr="00F618A2">
        <w:rPr>
          <w:rFonts w:eastAsia="Arial"/>
          <w:color w:val="000000"/>
          <w:sz w:val="24"/>
          <w:szCs w:val="20"/>
          <w:lang w:eastAsia="pt-BR"/>
        </w:rPr>
        <w:t>, aqueles cujas centrais geradoras possuem de 101 kW a 1 megawatt (MW). As fontes de geração precisam ser renováveis ou com elevada eficiência energética, isto é, com base em energia solar, hidráulica, eólica, biomassa ou cogeração qualificada.</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A norma também define o Sistema de Compensação como um arranjo no qual a energia ativa injetada por unidade consumidora com </w:t>
      </w:r>
      <w:proofErr w:type="spellStart"/>
      <w:r w:rsidRPr="00F618A2">
        <w:rPr>
          <w:rFonts w:eastAsia="Arial"/>
          <w:color w:val="000000"/>
          <w:sz w:val="24"/>
          <w:szCs w:val="20"/>
          <w:lang w:eastAsia="pt-BR"/>
        </w:rPr>
        <w:t>microgeração</w:t>
      </w:r>
      <w:proofErr w:type="spellEnd"/>
      <w:r w:rsidRPr="00F618A2">
        <w:rPr>
          <w:rFonts w:eastAsia="Arial"/>
          <w:color w:val="000000"/>
          <w:sz w:val="24"/>
          <w:szCs w:val="20"/>
          <w:lang w:eastAsia="pt-BR"/>
        </w:rPr>
        <w:t xml:space="preserve"> ou </w:t>
      </w:r>
      <w:proofErr w:type="spellStart"/>
      <w:r w:rsidRPr="00F618A2">
        <w:rPr>
          <w:rFonts w:eastAsia="Arial"/>
          <w:color w:val="000000"/>
          <w:sz w:val="24"/>
          <w:szCs w:val="20"/>
          <w:lang w:eastAsia="pt-BR"/>
        </w:rPr>
        <w:t>minigeração</w:t>
      </w:r>
      <w:proofErr w:type="spellEnd"/>
      <w:r w:rsidRPr="00F618A2">
        <w:rPr>
          <w:rFonts w:eastAsia="Arial"/>
          <w:color w:val="000000"/>
          <w:sz w:val="24"/>
          <w:szCs w:val="20"/>
          <w:lang w:eastAsia="pt-BR"/>
        </w:rPr>
        <w:t xml:space="preserve"> distribuída é cedida à distribuidora local e posteriormente compensada com o consumo de energia elétrica ativa dessa mesma unidade </w:t>
      </w:r>
      <w:r w:rsidRPr="00F618A2">
        <w:rPr>
          <w:rFonts w:eastAsia="Arial"/>
          <w:color w:val="000000"/>
          <w:sz w:val="24"/>
          <w:szCs w:val="20"/>
          <w:lang w:eastAsia="pt-BR"/>
        </w:rPr>
        <w:lastRenderedPageBreak/>
        <w:t xml:space="preserve">consumidora ou de outra unidade consumidora de mesma titularidade. Esse sistema é também conhecido pelo termo em inglês net </w:t>
      </w:r>
      <w:proofErr w:type="spellStart"/>
      <w:r w:rsidRPr="00F618A2">
        <w:rPr>
          <w:rFonts w:eastAsia="Arial"/>
          <w:color w:val="000000"/>
          <w:sz w:val="24"/>
          <w:szCs w:val="20"/>
          <w:lang w:eastAsia="pt-BR"/>
        </w:rPr>
        <w:t>metering</w:t>
      </w:r>
      <w:proofErr w:type="spellEnd"/>
      <w:r w:rsidRPr="00F618A2">
        <w:rPr>
          <w:rFonts w:eastAsia="Arial"/>
          <w:color w:val="000000"/>
          <w:sz w:val="24"/>
          <w:szCs w:val="20"/>
          <w:lang w:eastAsia="pt-BR"/>
        </w:rPr>
        <w:t xml:space="preserve">.  Nele, um consumidor de energia elétrica instala pequenos geradores em sua unidade consumidora (como, por exemplo, painéis solares fotovoltaicos e pequenas turbinas eólicas) e a energia gerada é usada para abater o consumo de energia elétrica da unidade. Quando a geração for maior que o consumo, o saldo positivo de energia poderá ser utilizado para abater o consumo em outro posto tarifário ou na fatura do mês subsequente. </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A Resolução ANEEL nº 482/2012 aliada ao potencial brasileiro para aproveitamento da fonte solar têm despertado o interesse de vários agentes na geração de energia elétrica a partir de painéis fotovoltaicos.</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A energia solar é uma fonte de energia limpa e com potencial a ser explorado no Brasil até maior do que em países que atualmente são líderes no uso dessa fonte de energia.  </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De forma direta, a radiação solar pode ser: (i) usada como fonte de energia térmica, para aquecimento de ambientes e de fluidos e para geração de potência mecânica ou elétrica; e (</w:t>
      </w:r>
      <w:proofErr w:type="spellStart"/>
      <w:r w:rsidRPr="00F618A2">
        <w:rPr>
          <w:rFonts w:eastAsia="Arial"/>
          <w:color w:val="000000"/>
          <w:sz w:val="24"/>
          <w:szCs w:val="20"/>
          <w:lang w:eastAsia="pt-BR"/>
        </w:rPr>
        <w:t>ii</w:t>
      </w:r>
      <w:proofErr w:type="spellEnd"/>
      <w:r w:rsidRPr="00F618A2">
        <w:rPr>
          <w:rFonts w:eastAsia="Arial"/>
          <w:color w:val="000000"/>
          <w:sz w:val="24"/>
          <w:szCs w:val="20"/>
          <w:lang w:eastAsia="pt-BR"/>
        </w:rPr>
        <w:t xml:space="preserve">) convertida diretamente em energia elétrica, por meio de efeitos sobre materiais, dentre os quais o termoelétrico e fotovoltaico. </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O aproveitamento térmico utiliza coletores (como os presentes em residências, hotéis </w:t>
      </w:r>
      <w:proofErr w:type="spellStart"/>
      <w:r w:rsidRPr="00F618A2">
        <w:rPr>
          <w:rFonts w:eastAsia="Arial"/>
          <w:color w:val="000000"/>
          <w:sz w:val="24"/>
          <w:szCs w:val="20"/>
          <w:lang w:eastAsia="pt-BR"/>
        </w:rPr>
        <w:t>etc</w:t>
      </w:r>
      <w:proofErr w:type="spellEnd"/>
      <w:r w:rsidRPr="00F618A2">
        <w:rPr>
          <w:rFonts w:eastAsia="Arial"/>
          <w:color w:val="000000"/>
          <w:sz w:val="24"/>
          <w:szCs w:val="20"/>
          <w:lang w:eastAsia="pt-BR"/>
        </w:rPr>
        <w:t xml:space="preserve">) para o aquecimento de água ou concentradores solares (para atividades que requerem temperaturas elevadas, tais como secagem de grãos e produção de vapor).  Já a geração de energia elétrica a partir da radiação solar é obtida pelo efeito fotovoltaico (FV) ou pela </w:t>
      </w:r>
      <w:proofErr w:type="spellStart"/>
      <w:r w:rsidRPr="00F618A2">
        <w:rPr>
          <w:rFonts w:eastAsia="Arial"/>
          <w:color w:val="000000"/>
          <w:sz w:val="24"/>
          <w:szCs w:val="20"/>
          <w:lang w:eastAsia="pt-BR"/>
        </w:rPr>
        <w:t>heliotermia</w:t>
      </w:r>
      <w:proofErr w:type="spellEnd"/>
      <w:r w:rsidRPr="00F618A2">
        <w:rPr>
          <w:rFonts w:eastAsia="Arial"/>
          <w:color w:val="000000"/>
          <w:sz w:val="24"/>
          <w:szCs w:val="20"/>
          <w:lang w:eastAsia="pt-BR"/>
        </w:rPr>
        <w:t xml:space="preserve"> (denominada também de </w:t>
      </w:r>
      <w:proofErr w:type="spellStart"/>
      <w:r w:rsidRPr="00F618A2">
        <w:rPr>
          <w:rFonts w:eastAsia="Arial"/>
          <w:color w:val="000000"/>
          <w:sz w:val="24"/>
          <w:szCs w:val="20"/>
          <w:lang w:eastAsia="pt-BR"/>
        </w:rPr>
        <w:t>termossolar</w:t>
      </w:r>
      <w:proofErr w:type="spellEnd"/>
      <w:r w:rsidRPr="00F618A2">
        <w:rPr>
          <w:rFonts w:eastAsia="Arial"/>
          <w:color w:val="000000"/>
          <w:sz w:val="24"/>
          <w:szCs w:val="20"/>
          <w:lang w:eastAsia="pt-BR"/>
        </w:rPr>
        <w:t xml:space="preserve"> ou </w:t>
      </w:r>
      <w:proofErr w:type="spellStart"/>
      <w:r w:rsidRPr="00F618A2">
        <w:rPr>
          <w:rFonts w:eastAsia="Arial"/>
          <w:color w:val="000000"/>
          <w:sz w:val="24"/>
          <w:szCs w:val="20"/>
          <w:lang w:eastAsia="pt-BR"/>
        </w:rPr>
        <w:t>concentrated</w:t>
      </w:r>
      <w:proofErr w:type="spellEnd"/>
      <w:r w:rsidRPr="00F618A2">
        <w:rPr>
          <w:rFonts w:eastAsia="Arial"/>
          <w:color w:val="000000"/>
          <w:sz w:val="24"/>
          <w:szCs w:val="20"/>
          <w:lang w:eastAsia="pt-BR"/>
        </w:rPr>
        <w:t xml:space="preserve"> solar </w:t>
      </w:r>
      <w:proofErr w:type="spellStart"/>
      <w:r w:rsidRPr="00F618A2">
        <w:rPr>
          <w:rFonts w:eastAsia="Arial"/>
          <w:color w:val="000000"/>
          <w:sz w:val="24"/>
          <w:szCs w:val="20"/>
          <w:lang w:eastAsia="pt-BR"/>
        </w:rPr>
        <w:t>power</w:t>
      </w:r>
      <w:proofErr w:type="spellEnd"/>
      <w:r w:rsidRPr="00F618A2">
        <w:rPr>
          <w:rFonts w:eastAsia="Arial"/>
          <w:color w:val="000000"/>
          <w:sz w:val="24"/>
          <w:szCs w:val="20"/>
          <w:lang w:eastAsia="pt-BR"/>
        </w:rPr>
        <w:t xml:space="preserve"> – CSP).  Nesse caso, a radiação solar é captada por coletores, transformada em calor e utilizada para aquecimento. São os chamados Sistemas de Aquecimento Solar (SAS).</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No caso do efeito fotovoltaico, a radiação solar incide sobre materiais semicondutores e é transformada diretamente em corrente contínua; para transformar a corrente contínua em corrente alternada, são utilizados aparelhos chamados inversores. Os painéis fotovoltaicos são formados por um conjunto de células fotovoltaicas e podem ser interconectados de forma a permitir a montagem </w:t>
      </w:r>
      <w:r w:rsidRPr="00F618A2">
        <w:rPr>
          <w:rFonts w:eastAsia="Arial"/>
          <w:color w:val="000000"/>
          <w:sz w:val="24"/>
          <w:szCs w:val="20"/>
          <w:lang w:eastAsia="pt-BR"/>
        </w:rPr>
        <w:lastRenderedPageBreak/>
        <w:t xml:space="preserve">de arranjos modulares que, em conjunto, podem aumentar a capacidade de geração de energia elétrica. </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No caso da </w:t>
      </w:r>
      <w:proofErr w:type="spellStart"/>
      <w:r w:rsidRPr="00F618A2">
        <w:rPr>
          <w:rFonts w:eastAsia="Arial"/>
          <w:color w:val="000000"/>
          <w:sz w:val="24"/>
          <w:szCs w:val="20"/>
          <w:lang w:eastAsia="pt-BR"/>
        </w:rPr>
        <w:t>microgeração</w:t>
      </w:r>
      <w:proofErr w:type="spellEnd"/>
      <w:r w:rsidRPr="00F618A2">
        <w:rPr>
          <w:rFonts w:eastAsia="Arial"/>
          <w:color w:val="000000"/>
          <w:sz w:val="24"/>
          <w:szCs w:val="20"/>
          <w:lang w:eastAsia="pt-BR"/>
        </w:rPr>
        <w:t xml:space="preserve"> e </w:t>
      </w:r>
      <w:proofErr w:type="spellStart"/>
      <w:r w:rsidRPr="00F618A2">
        <w:rPr>
          <w:rFonts w:eastAsia="Arial"/>
          <w:color w:val="000000"/>
          <w:sz w:val="24"/>
          <w:szCs w:val="20"/>
          <w:lang w:eastAsia="pt-BR"/>
        </w:rPr>
        <w:t>minigeração</w:t>
      </w:r>
      <w:proofErr w:type="spellEnd"/>
      <w:r w:rsidRPr="00F618A2">
        <w:rPr>
          <w:rFonts w:eastAsia="Arial"/>
          <w:color w:val="000000"/>
          <w:sz w:val="24"/>
          <w:szCs w:val="20"/>
          <w:lang w:eastAsia="pt-BR"/>
        </w:rPr>
        <w:t xml:space="preserve"> distribuídas, o prazo da maturação do investimento é um obstáculo. Embora, no médio prazo, a redução na despesa com energia elétrica supere o investimento inicial, obter os recursos para promover a instalação dos equipamentos é um limitador para boa parte dos brasileiros. Soma-se a isso, que os custos de energia do Brasil têm aumentado de forma exorbitantes, a exemplo do que ocorreu no início de 2015, e tais equipamentos seriam uma alternativa mais econômica para os consumidores de energia.</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Resta salientar que o projeto de lei não onera os cofres públicos já que utiliza recursos dos próprios contribuintes depositados em contas vinculadas ao FGTS.</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O objetivo do presente projeto de lei é permitir uma forma adicional de utilização dos recursos da conta vinculada ao FGTS e incentivar que mais investimentos sejam realizados para o desenvolvimento das fontes geradoras alternativas de energia elétrica no país, facilitando a instalação e disseminação de equipamentos fotovoltaicos.</w:t>
      </w:r>
    </w:p>
    <w:p w:rsidR="00F618A2" w:rsidRPr="00F618A2" w:rsidRDefault="00F618A2" w:rsidP="00F618A2">
      <w:pPr>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Esperamos, então, o apoio de nossos ilustres Pares para a aprovação dessa importante inovação em nossa legislação. </w:t>
      </w:r>
    </w:p>
    <w:p w:rsidR="00F618A2" w:rsidRPr="00F618A2" w:rsidRDefault="00F618A2" w:rsidP="00F618A2">
      <w:pPr>
        <w:keepNext/>
        <w:widowControl w:val="0"/>
        <w:spacing w:before="120" w:after="120" w:line="360" w:lineRule="auto"/>
        <w:ind w:firstLine="2302"/>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 xml:space="preserve">Sala das Sessões, em </w:t>
      </w:r>
      <w:r w:rsidR="00022163">
        <w:rPr>
          <w:rFonts w:eastAsia="Arial"/>
          <w:color w:val="000000"/>
          <w:sz w:val="24"/>
          <w:szCs w:val="20"/>
          <w:lang w:eastAsia="pt-BR"/>
        </w:rPr>
        <w:t>19</w:t>
      </w:r>
      <w:r w:rsidRPr="00F618A2">
        <w:rPr>
          <w:rFonts w:eastAsia="Arial"/>
          <w:color w:val="000000"/>
          <w:sz w:val="24"/>
          <w:szCs w:val="20"/>
          <w:lang w:eastAsia="pt-BR"/>
        </w:rPr>
        <w:t xml:space="preserve"> de </w:t>
      </w:r>
      <w:r w:rsidR="00022163">
        <w:rPr>
          <w:rFonts w:eastAsia="Arial"/>
          <w:color w:val="000000"/>
          <w:sz w:val="24"/>
          <w:szCs w:val="20"/>
          <w:lang w:eastAsia="pt-BR"/>
        </w:rPr>
        <w:t>março</w:t>
      </w:r>
      <w:r w:rsidRPr="00F618A2">
        <w:rPr>
          <w:rFonts w:eastAsia="Arial"/>
          <w:color w:val="000000"/>
          <w:sz w:val="24"/>
          <w:szCs w:val="20"/>
          <w:lang w:eastAsia="pt-BR"/>
        </w:rPr>
        <w:t xml:space="preserve"> de 2015.</w:t>
      </w:r>
    </w:p>
    <w:p w:rsidR="00F618A2" w:rsidRPr="00F618A2" w:rsidRDefault="00F618A2" w:rsidP="00022163">
      <w:pPr>
        <w:widowControl w:val="0"/>
        <w:spacing w:before="120" w:after="120" w:line="360" w:lineRule="auto"/>
        <w:jc w:val="center"/>
        <w:rPr>
          <w:rFonts w:ascii="Times New Roman" w:eastAsia="Times New Roman" w:hAnsi="Times New Roman" w:cs="Times New Roman"/>
          <w:color w:val="000000"/>
          <w:szCs w:val="20"/>
          <w:lang w:eastAsia="pt-BR"/>
        </w:rPr>
      </w:pPr>
      <w:r w:rsidRPr="00F618A2">
        <w:rPr>
          <w:rFonts w:eastAsia="Arial"/>
          <w:color w:val="000000"/>
          <w:sz w:val="24"/>
          <w:szCs w:val="20"/>
          <w:lang w:eastAsia="pt-BR"/>
        </w:rPr>
        <w:t>Deputado FABIO GARCIA</w:t>
      </w:r>
    </w:p>
    <w:p w:rsidR="00F618A2" w:rsidRDefault="00F618A2" w:rsidP="00F618A2">
      <w:pPr>
        <w:rPr>
          <w:sz w:val="24"/>
        </w:rPr>
      </w:pPr>
    </w:p>
    <w:p w:rsidR="00F618A2" w:rsidRDefault="00F618A2" w:rsidP="00F618A2">
      <w:pPr>
        <w:pBdr>
          <w:top w:val="single" w:sz="4" w:space="1" w:color="auto"/>
          <w:left w:val="single" w:sz="4" w:space="4" w:color="auto"/>
          <w:bottom w:val="single" w:sz="4" w:space="1" w:color="auto"/>
          <w:right w:val="single" w:sz="4" w:space="4" w:color="auto"/>
        </w:pBdr>
        <w:jc w:val="center"/>
        <w:rPr>
          <w:b/>
          <w:sz w:val="24"/>
        </w:rPr>
      </w:pPr>
      <w:bookmarkStart w:id="11" w:name="z1049319_LEGISLACAO"/>
      <w:bookmarkEnd w:id="10"/>
      <w:r>
        <w:rPr>
          <w:b/>
          <w:sz w:val="24"/>
        </w:rPr>
        <w:t>LEGISLAÇÃO CITADA ANEXADA PELA</w:t>
      </w:r>
    </w:p>
    <w:p w:rsidR="00F618A2" w:rsidRDefault="00F618A2" w:rsidP="00F618A2">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F618A2" w:rsidRDefault="00F618A2" w:rsidP="00F618A2">
      <w:pPr>
        <w:jc w:val="center"/>
        <w:rPr>
          <w:b/>
          <w:sz w:val="24"/>
        </w:rPr>
      </w:pPr>
    </w:p>
    <w:p w:rsidR="00F618A2" w:rsidRPr="00F618A2" w:rsidRDefault="00F618A2" w:rsidP="00F618A2">
      <w:pPr>
        <w:keepNext/>
        <w:jc w:val="center"/>
        <w:outlineLvl w:val="0"/>
        <w:rPr>
          <w:rFonts w:ascii="Times New Roman" w:eastAsia="Times New Roman" w:hAnsi="Times New Roman" w:cs="Times New Roman"/>
          <w:b/>
          <w:sz w:val="28"/>
          <w:szCs w:val="20"/>
          <w:lang w:eastAsia="pt-BR"/>
        </w:rPr>
      </w:pPr>
      <w:r w:rsidRPr="00F618A2">
        <w:rPr>
          <w:rFonts w:ascii="Times New Roman" w:eastAsia="Times New Roman" w:hAnsi="Times New Roman" w:cs="Times New Roman"/>
          <w:b/>
          <w:sz w:val="28"/>
          <w:szCs w:val="20"/>
          <w:lang w:eastAsia="pt-BR"/>
        </w:rPr>
        <w:t>LEI Nº 8.036, DE 11 DE MAIO DE 1990</w:t>
      </w:r>
    </w:p>
    <w:p w:rsidR="00F618A2" w:rsidRPr="00F618A2" w:rsidRDefault="00F618A2" w:rsidP="00F618A2">
      <w:pPr>
        <w:jc w:val="left"/>
        <w:rPr>
          <w:rFonts w:ascii="Times New Roman" w:eastAsia="Times New Roman" w:hAnsi="Times New Roman" w:cs="Times New Roman"/>
          <w:sz w:val="24"/>
          <w:szCs w:val="20"/>
          <w:lang w:eastAsia="pt-BR"/>
        </w:rPr>
      </w:pPr>
    </w:p>
    <w:p w:rsidR="00F618A2" w:rsidRPr="00F618A2" w:rsidRDefault="00F618A2" w:rsidP="00F618A2">
      <w:pPr>
        <w:ind w:left="4536"/>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Dispõe sobre o Fundo de Garantia do Tempo de Serviço e dá outras providências. </w:t>
      </w:r>
    </w:p>
    <w:p w:rsidR="00F618A2" w:rsidRPr="00F618A2" w:rsidRDefault="00F618A2" w:rsidP="00F618A2">
      <w:pPr>
        <w:rPr>
          <w:rFonts w:ascii="Times New Roman" w:eastAsia="Times New Roman" w:hAnsi="Times New Roman" w:cs="Times New Roman"/>
          <w:sz w:val="24"/>
          <w:szCs w:val="20"/>
          <w:lang w:eastAsia="pt-BR"/>
        </w:rPr>
      </w:pPr>
    </w:p>
    <w:p w:rsidR="00F618A2" w:rsidRPr="00F618A2" w:rsidRDefault="00F618A2" w:rsidP="00F618A2">
      <w:pPr>
        <w:keepNext/>
        <w:ind w:firstLine="1134"/>
        <w:outlineLvl w:val="2"/>
        <w:rPr>
          <w:rFonts w:ascii="Times New Roman" w:eastAsia="Times New Roman" w:hAnsi="Times New Roman" w:cs="Times New Roman"/>
          <w:b/>
          <w:sz w:val="24"/>
          <w:szCs w:val="20"/>
          <w:lang w:eastAsia="pt-BR"/>
        </w:rPr>
      </w:pPr>
      <w:r w:rsidRPr="00F618A2">
        <w:rPr>
          <w:rFonts w:ascii="Times New Roman" w:eastAsia="Times New Roman" w:hAnsi="Times New Roman" w:cs="Times New Roman"/>
          <w:b/>
          <w:sz w:val="24"/>
          <w:szCs w:val="20"/>
          <w:lang w:eastAsia="pt-BR"/>
        </w:rPr>
        <w:t xml:space="preserve">O PRESIDENTE DA REPÚBLICA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Faço saber que o Congresso Nacional decreta e eu sanciono a seguinte Lei: </w:t>
      </w:r>
    </w:p>
    <w:p w:rsidR="00F618A2" w:rsidRPr="00F618A2" w:rsidRDefault="00F618A2" w:rsidP="00F618A2">
      <w:pPr>
        <w:jc w:val="cente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szCs w:val="20"/>
          <w:lang w:eastAsia="pt-BR"/>
        </w:rPr>
        <w:t>.....................................................................................................................................................................................</w:t>
      </w:r>
      <w:r w:rsidRPr="00F618A2">
        <w:rPr>
          <w:rFonts w:ascii="Times New Roman" w:eastAsia="Times New Roman" w:hAnsi="Times New Roman" w:cs="Times New Roman"/>
          <w:color w:val="000000"/>
          <w:sz w:val="24"/>
          <w:szCs w:val="20"/>
          <w:lang w:eastAsia="pt-BR"/>
        </w:rPr>
        <w:t xml:space="preserve"> </w:t>
      </w:r>
    </w:p>
    <w:p w:rsidR="00F618A2" w:rsidRPr="00F618A2" w:rsidRDefault="00F618A2" w:rsidP="00F618A2">
      <w:pPr>
        <w:ind w:firstLine="1134"/>
        <w:rPr>
          <w:rFonts w:ascii="Times New Roman" w:eastAsia="Times New Roman" w:hAnsi="Times New Roman" w:cs="Times New Roman"/>
          <w:sz w:val="24"/>
          <w:szCs w:val="20"/>
          <w:lang w:eastAsia="pt-BR"/>
        </w:rPr>
      </w:pP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lastRenderedPageBreak/>
        <w:t xml:space="preserve">Art. 20. A conta vinculada do trabalhador no FGTS poderá ser movimentada nas seguintes situações: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I - despedida sem justa causa, inclusive a indireta, de culpa recíproca e de força maior; </w:t>
      </w:r>
      <w:hyperlink r:id="rId8" w:history="1">
        <w:r w:rsidRPr="00F618A2">
          <w:rPr>
            <w:rFonts w:ascii="Times New Roman" w:eastAsia="Times New Roman" w:hAnsi="Times New Roman" w:cs="Times New Roman"/>
            <w:i/>
            <w:color w:val="0000FF"/>
            <w:sz w:val="24"/>
            <w:szCs w:val="20"/>
            <w:u w:val="single"/>
            <w:lang w:eastAsia="pt-BR"/>
          </w:rPr>
          <w:t>(Inciso com redação dada pela Medida Provisória nº 2.197-43, de 24/8/2001)</w:t>
        </w:r>
      </w:hyperlink>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II - extinção total da empresa, fechamento de quaisquer de seus estabelecimentos, filiais ou agências, supressão de parte de suas atividades, declaração de nulidade do contrato de trabalho nas condições do art. 19-A, ou ainda falecimento do empregador individual sempre que qualquer dessas ocorrências implique rescisão de contrato de trabalho, comprovada por declaração escrita da empresa, suprida, quando for o caso, por decisão judicial transitada em julgado; </w:t>
      </w:r>
      <w:hyperlink r:id="rId9" w:history="1">
        <w:r w:rsidRPr="00F618A2">
          <w:rPr>
            <w:rFonts w:ascii="Times New Roman" w:eastAsia="Times New Roman" w:hAnsi="Times New Roman" w:cs="Times New Roman"/>
            <w:i/>
            <w:color w:val="0000FF"/>
            <w:sz w:val="24"/>
            <w:szCs w:val="20"/>
            <w:u w:val="single"/>
            <w:lang w:eastAsia="pt-BR"/>
          </w:rPr>
          <w:t>(Inciso com redação dada pela Medida Provisória nº 2.164-41, de 24/8/2001)</w:t>
        </w:r>
      </w:hyperlink>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III - aposentadoria concedida pela Previdência Social;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IV - falecimento do trabalhador, sendo o saldo pago a seus dependentes, para esse fim habilitados perante a Previdência Social, segundo o critério adotado para a concessão de pensões por morte. Na falta de dependentes, farão jus ao recebimento do saldo da conta vinculada os seus sucessores previstos na lei civil, indicados em alvará judicial, expedido a requerimento do interessado, independente de inventário ou arrolamento;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V - pagamento de parte das prestações decorrentes de financiamento habitacional concedido no âmbito do Sistema Financeiro da Habitação (SFH), desde que: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a) o mutuário conte com o mínimo de 3 (três) anos de trabalho sob o regime do FGTS, na mesma empresa ou em empresas diferentes;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b) o valor bloqueado seja utilizado, no mínimo, durante o prazo de 12 (doze) meses;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c) o valor do abatimento atinja, no máximo, 80 (oitenta) por cento do montante da prestação;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VI - liquidação ou amortização extraordinária do saldo devedor de financiamento imobiliário, observadas as condições estabelecidas pelo Conselho Curador, dentre elas a de que o financiamento seja concedido no âmbito do SFH e haja interstício mínimo de 2 (dois) anos para cada movimentação; </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sz w:val="24"/>
          <w:szCs w:val="20"/>
          <w:lang w:eastAsia="pt-BR"/>
        </w:rPr>
        <w:t xml:space="preserve">VII - pagamento total ou parcial do preço de aquisição de moradia própria, ou lote urbanizado de interesse social não construído, observadas as seguintes condições: </w:t>
      </w:r>
      <w:r w:rsidRPr="00F618A2">
        <w:rPr>
          <w:rFonts w:ascii="Times New Roman" w:eastAsia="Times New Roman" w:hAnsi="Times New Roman" w:cs="Times New Roman"/>
          <w:i/>
          <w:sz w:val="24"/>
          <w:szCs w:val="20"/>
          <w:lang w:eastAsia="pt-BR"/>
        </w:rPr>
        <w:fldChar w:fldCharType="begin"/>
      </w:r>
      <w:r w:rsidRPr="00F618A2">
        <w:rPr>
          <w:rFonts w:ascii="Times New Roman" w:eastAsia="Times New Roman" w:hAnsi="Times New Roman" w:cs="Times New Roman"/>
          <w:i/>
          <w:sz w:val="24"/>
          <w:szCs w:val="20"/>
          <w:lang w:eastAsia="pt-BR"/>
        </w:rPr>
        <w:instrText xml:space="preserve"> HYPERLINK "http://www2.camara.gov.br/internet/legislacao/legin.html/textos/visualizarTexto.html?ideNorma=589206&amp;seqTexto=114190&amp;PalavrasDestaque=" </w:instrText>
      </w:r>
      <w:r w:rsidRPr="00F618A2">
        <w:rPr>
          <w:rFonts w:ascii="Times New Roman" w:eastAsia="Times New Roman" w:hAnsi="Times New Roman" w:cs="Times New Roman"/>
          <w:i/>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(“Caput” do inciso com redação dada pela Lei nº 11.977, de 7/</w:t>
      </w:r>
      <w:bookmarkStart w:id="12" w:name="_Hlt234823477"/>
      <w:r w:rsidRPr="00F618A2">
        <w:rPr>
          <w:rFonts w:ascii="Times New Roman" w:eastAsia="Times New Roman" w:hAnsi="Times New Roman" w:cs="Times New Roman"/>
          <w:i/>
          <w:color w:val="0000FF"/>
          <w:sz w:val="24"/>
          <w:szCs w:val="20"/>
          <w:u w:val="single"/>
          <w:lang w:eastAsia="pt-BR"/>
        </w:rPr>
        <w:t>7</w:t>
      </w:r>
      <w:bookmarkEnd w:id="12"/>
      <w:r w:rsidRPr="00F618A2">
        <w:rPr>
          <w:rFonts w:ascii="Times New Roman" w:eastAsia="Times New Roman" w:hAnsi="Times New Roman" w:cs="Times New Roman"/>
          <w:i/>
          <w:color w:val="0000FF"/>
          <w:sz w:val="24"/>
          <w:szCs w:val="20"/>
          <w:u w:val="single"/>
          <w:lang w:eastAsia="pt-BR"/>
        </w:rPr>
        <w:t>/2009)</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i/>
          <w:sz w:val="24"/>
          <w:szCs w:val="20"/>
          <w:lang w:eastAsia="pt-BR"/>
        </w:rPr>
        <w:fldChar w:fldCharType="end"/>
      </w:r>
      <w:r w:rsidRPr="00F618A2">
        <w:rPr>
          <w:rFonts w:ascii="Times New Roman" w:eastAsia="Times New Roman" w:hAnsi="Times New Roman" w:cs="Times New Roman"/>
          <w:sz w:val="24"/>
          <w:szCs w:val="20"/>
          <w:lang w:eastAsia="pt-BR"/>
        </w:rPr>
        <w:t>a) o mutuário deverá contar com o mínimo de três anos de trabalho sob o regime do FGTS, na mesma empresa ou empresas diferentes;</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b) seja a operação financiável nas condições vigentes para o SFH;</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sz w:val="24"/>
          <w:szCs w:val="20"/>
          <w:lang w:eastAsia="pt-BR"/>
        </w:rPr>
        <w:t xml:space="preserve">VIII - quando o trabalhador permanecer três anos ininterruptos, a partir de 1º de junho de 1990, fora do regime do FGTS, podendo o saque, neste caso, ser efetuado a partir do mês de aniversário do titular da conta; </w:t>
      </w:r>
      <w:r w:rsidRPr="00F618A2">
        <w:rPr>
          <w:rFonts w:ascii="Times New Roman" w:eastAsia="Times New Roman" w:hAnsi="Times New Roman" w:cs="Times New Roman"/>
          <w:i/>
          <w:sz w:val="24"/>
          <w:szCs w:val="20"/>
          <w:lang w:eastAsia="pt-BR"/>
        </w:rPr>
        <w:fldChar w:fldCharType="begin"/>
      </w:r>
      <w:r w:rsidRPr="00F618A2">
        <w:rPr>
          <w:rFonts w:ascii="Times New Roman" w:eastAsia="Times New Roman" w:hAnsi="Times New Roman" w:cs="Times New Roman"/>
          <w:i/>
          <w:sz w:val="24"/>
          <w:szCs w:val="20"/>
          <w:lang w:eastAsia="pt-BR"/>
        </w:rPr>
        <w:instrText xml:space="preserve"> HYPERLINK "http://www2.camara.gov.br/internet/legislacao/legin.html/textos/visualizarTexto.html?ideNorma=372597&amp;seqTexto=1&amp;PalavrasDestaque=" </w:instrText>
      </w:r>
      <w:r w:rsidRPr="00F618A2">
        <w:rPr>
          <w:rFonts w:ascii="Times New Roman" w:eastAsia="Times New Roman" w:hAnsi="Times New Roman" w:cs="Times New Roman"/>
          <w:i/>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(Inciso com redação dada pela Lei nº 8.678, de 13/7/1993)</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i/>
          <w:sz w:val="24"/>
          <w:szCs w:val="20"/>
          <w:lang w:eastAsia="pt-BR"/>
        </w:rPr>
        <w:fldChar w:fldCharType="end"/>
      </w:r>
      <w:r w:rsidRPr="00F618A2">
        <w:rPr>
          <w:rFonts w:ascii="Times New Roman" w:eastAsia="Times New Roman" w:hAnsi="Times New Roman" w:cs="Times New Roman"/>
          <w:sz w:val="24"/>
          <w:szCs w:val="20"/>
          <w:lang w:eastAsia="pt-BR"/>
        </w:rPr>
        <w:t xml:space="preserve">IX - extinção normal do contrato a termo, inclusive o dos trabalhadores temporários regidos pela Lei nº 6.019, de 3 de janeiro de 1974;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X - suspensão total do trabalho avulso por período igual ou superior a 90 (noventa) dias, comprovada por declaração do sindicato representativo da categoria profissional. </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sz w:val="24"/>
          <w:szCs w:val="20"/>
          <w:lang w:eastAsia="pt-BR"/>
        </w:rPr>
        <w:t xml:space="preserve">XI - quando o trabalhador ou qualquer de seus dependentes for acometido de neoplasia maligna; </w:t>
      </w:r>
      <w:hyperlink r:id="rId10" w:history="1">
        <w:r w:rsidRPr="00F618A2">
          <w:rPr>
            <w:rFonts w:ascii="Times New Roman" w:eastAsia="Times New Roman" w:hAnsi="Times New Roman" w:cs="Times New Roman"/>
            <w:i/>
            <w:color w:val="0000FF"/>
            <w:sz w:val="24"/>
            <w:szCs w:val="20"/>
            <w:u w:val="single"/>
            <w:lang w:eastAsia="pt-BR"/>
          </w:rPr>
          <w:t>(Inciso acrescido pela Lei nº 8.922, de 25/7/1994)</w:t>
        </w:r>
      </w:hyperlink>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XII - aplicação em quotas de Fundos Mútuos de Privatização, regidos pela Lei nº 6.385, de 7 de dezembro de 1976, permitida a utilização máxima de 50% (</w:t>
      </w:r>
      <w:proofErr w:type="spellStart"/>
      <w:r w:rsidRPr="00F618A2">
        <w:rPr>
          <w:rFonts w:ascii="Times New Roman" w:eastAsia="Times New Roman" w:hAnsi="Times New Roman" w:cs="Times New Roman"/>
          <w:sz w:val="24"/>
          <w:szCs w:val="20"/>
          <w:lang w:eastAsia="pt-BR"/>
        </w:rPr>
        <w:t>cinqüenta</w:t>
      </w:r>
      <w:proofErr w:type="spellEnd"/>
      <w:r w:rsidRPr="00F618A2">
        <w:rPr>
          <w:rFonts w:ascii="Times New Roman" w:eastAsia="Times New Roman" w:hAnsi="Times New Roman" w:cs="Times New Roman"/>
          <w:sz w:val="24"/>
          <w:szCs w:val="20"/>
          <w:lang w:eastAsia="pt-BR"/>
        </w:rPr>
        <w:t xml:space="preserve"> por cento) do saldo existente e disponível em sua conta vinculada do Fundo de Garantia do </w:t>
      </w:r>
      <w:r w:rsidRPr="00F618A2">
        <w:rPr>
          <w:rFonts w:ascii="Times New Roman" w:eastAsia="Times New Roman" w:hAnsi="Times New Roman" w:cs="Times New Roman"/>
          <w:sz w:val="24"/>
          <w:szCs w:val="20"/>
          <w:lang w:eastAsia="pt-BR"/>
        </w:rPr>
        <w:lastRenderedPageBreak/>
        <w:t xml:space="preserve">Tempo de Serviço, na data em que exercer a opção; </w:t>
      </w:r>
      <w:hyperlink r:id="rId11" w:history="1">
        <w:r w:rsidRPr="00F618A2">
          <w:rPr>
            <w:rFonts w:ascii="Times New Roman" w:eastAsia="Times New Roman" w:hAnsi="Times New Roman" w:cs="Times New Roman"/>
            <w:i/>
            <w:color w:val="0000FF"/>
            <w:sz w:val="24"/>
            <w:szCs w:val="20"/>
            <w:u w:val="single"/>
            <w:lang w:eastAsia="pt-BR"/>
          </w:rPr>
          <w:t>(Inciso acrescido pela Lei nº 9.491, de 9/9/1997)</w:t>
        </w:r>
      </w:hyperlink>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XIII - quando o trabalhador ou qualquer de seus dependentes for portador do vírus HIV; </w:t>
      </w:r>
      <w:hyperlink r:id="rId12" w:history="1">
        <w:r w:rsidRPr="00F618A2">
          <w:rPr>
            <w:rFonts w:ascii="Times New Roman" w:eastAsia="Times New Roman" w:hAnsi="Times New Roman" w:cs="Times New Roman"/>
            <w:i/>
            <w:color w:val="0000FF"/>
            <w:sz w:val="24"/>
            <w:szCs w:val="20"/>
            <w:u w:val="single"/>
            <w:lang w:eastAsia="pt-BR"/>
          </w:rPr>
          <w:t>(Inciso acrescido pela Medida Provisória nº 2.164-41, de 24/8/2001)</w:t>
        </w:r>
      </w:hyperlink>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sz w:val="24"/>
          <w:szCs w:val="20"/>
          <w:lang w:eastAsia="pt-BR"/>
        </w:rPr>
        <w:t xml:space="preserve">XIV - quando o trabalhador ou qualquer de seus dependentes estiver em estágio terminal, em razão de doença grave, nos termos do regulamento; </w:t>
      </w:r>
      <w:r w:rsidRPr="00F618A2">
        <w:rPr>
          <w:rFonts w:ascii="Times New Roman" w:eastAsia="Times New Roman" w:hAnsi="Times New Roman" w:cs="Times New Roman"/>
          <w:i/>
          <w:sz w:val="24"/>
          <w:szCs w:val="20"/>
          <w:lang w:eastAsia="pt-BR"/>
        </w:rPr>
        <w:fldChar w:fldCharType="begin"/>
      </w:r>
      <w:r w:rsidRPr="00F618A2">
        <w:rPr>
          <w:rFonts w:ascii="Times New Roman" w:eastAsia="Times New Roman" w:hAnsi="Times New Roman" w:cs="Times New Roman"/>
          <w:i/>
          <w:sz w:val="24"/>
          <w:szCs w:val="20"/>
          <w:lang w:eastAsia="pt-BR"/>
        </w:rPr>
        <w:instrText xml:space="preserve"> HYPERLINK "http://www2.camara.gov.br/internet/legislacao/legin.html/textos/visualizarTexto.html?ideNorma=390727&amp;seqTexto=1&amp;PalavrasDestaque=" </w:instrText>
      </w:r>
      <w:r w:rsidRPr="00F618A2">
        <w:rPr>
          <w:rFonts w:ascii="Times New Roman" w:eastAsia="Times New Roman" w:hAnsi="Times New Roman" w:cs="Times New Roman"/>
          <w:i/>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(Inciso acrescido pela Medida Provisória nº 2.164-41, de 24/8/2001)</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i/>
          <w:sz w:val="24"/>
          <w:szCs w:val="20"/>
          <w:lang w:eastAsia="pt-BR"/>
        </w:rPr>
        <w:fldChar w:fldCharType="end"/>
      </w:r>
      <w:r w:rsidRPr="00F618A2">
        <w:rPr>
          <w:rFonts w:ascii="Times New Roman" w:eastAsia="Times New Roman" w:hAnsi="Times New Roman" w:cs="Times New Roman"/>
          <w:sz w:val="24"/>
          <w:szCs w:val="20"/>
          <w:lang w:eastAsia="pt-BR"/>
        </w:rPr>
        <w:t xml:space="preserve">XV - quando o trabalhador tiver idade igual ou superior a 70 (setenta anos). </w:t>
      </w:r>
      <w:r w:rsidRPr="00F618A2">
        <w:rPr>
          <w:rFonts w:ascii="Times New Roman" w:eastAsia="Times New Roman" w:hAnsi="Times New Roman" w:cs="Times New Roman"/>
          <w:i/>
          <w:sz w:val="24"/>
          <w:szCs w:val="20"/>
          <w:lang w:eastAsia="pt-BR"/>
        </w:rPr>
        <w:fldChar w:fldCharType="begin"/>
      </w:r>
      <w:r w:rsidRPr="00F618A2">
        <w:rPr>
          <w:rFonts w:ascii="Times New Roman" w:eastAsia="Times New Roman" w:hAnsi="Times New Roman" w:cs="Times New Roman"/>
          <w:i/>
          <w:sz w:val="24"/>
          <w:szCs w:val="20"/>
          <w:lang w:eastAsia="pt-BR"/>
        </w:rPr>
        <w:instrText xml:space="preserve"> HYPERLINK "http://www2.camara.gov.br/internet/legislacao/legin.html/textos/visualizarTexto.html?ideNorma=390727&amp;seqTexto=1&amp;PalavrasDestaque=" </w:instrText>
      </w:r>
      <w:r w:rsidRPr="00F618A2">
        <w:rPr>
          <w:rFonts w:ascii="Times New Roman" w:eastAsia="Times New Roman" w:hAnsi="Times New Roman" w:cs="Times New Roman"/>
          <w:i/>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(Inciso acrescido pela Medida Provisória nº 2.164-41, de 24/8/2001)</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i/>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XVI - necessidade pessoal, cuja urgência e gravidade decorra de desastre natural, conforme disposto em regulamento, observadas as seguintes condições: </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a) o trabalhador deverá ser residente em áreas comprovadamente atingidas de Município ou do Distrito Federal em situação de emergência ou em estado de calamidade pública, formalmente reconhecidos pelo Governo Federal;</w:t>
      </w:r>
      <w:r w:rsidRPr="00F618A2">
        <w:rPr>
          <w:rFonts w:ascii="Times New Roman" w:eastAsia="Times New Roman" w:hAnsi="Times New Roman" w:cs="Times New Roman"/>
          <w:color w:val="FF0000"/>
          <w:sz w:val="24"/>
          <w:szCs w:val="20"/>
          <w:lang w:eastAsia="pt-BR"/>
        </w:rPr>
        <w:t xml:space="preserve"> </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b) a solicitação de movimentação da conta vinculada será admitida até 90 (noventa) dias após a publicação do ato de reconhecimento, pelo Governo Federal, da situação de emergência ou de estado de calamidade pública; e</w:t>
      </w:r>
      <w:r w:rsidRPr="00F618A2">
        <w:rPr>
          <w:rFonts w:ascii="Times New Roman" w:eastAsia="Times New Roman" w:hAnsi="Times New Roman" w:cs="Times New Roman"/>
          <w:color w:val="FF0000"/>
          <w:sz w:val="24"/>
          <w:szCs w:val="20"/>
          <w:lang w:eastAsia="pt-BR"/>
        </w:rPr>
        <w:t xml:space="preserve"> </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c) o valor máximo do saque da conta vinculada será definido na forma do regulamento.</w:t>
      </w:r>
      <w:r w:rsidRPr="00F618A2">
        <w:rPr>
          <w:rFonts w:ascii="Times New Roman" w:eastAsia="Times New Roman" w:hAnsi="Times New Roman" w:cs="Times New Roman"/>
          <w:color w:val="FF0000"/>
          <w:sz w:val="24"/>
          <w:szCs w:val="20"/>
          <w:lang w:eastAsia="pt-BR"/>
        </w:rPr>
        <w:t xml:space="preserve"> </w:t>
      </w:r>
      <w:hyperlink r:id="rId13" w:history="1">
        <w:r w:rsidRPr="00F618A2">
          <w:rPr>
            <w:rFonts w:ascii="Times New Roman" w:eastAsia="Times New Roman" w:hAnsi="Times New Roman" w:cs="Times New Roman"/>
            <w:i/>
            <w:color w:val="0000FF"/>
            <w:sz w:val="24"/>
            <w:szCs w:val="20"/>
            <w:u w:val="single"/>
            <w:lang w:eastAsia="pt-BR"/>
          </w:rPr>
          <w:t>(Inciso acrescido pela Lei nº 10.878, de 8/6/2004)</w:t>
        </w:r>
      </w:hyperlink>
    </w:p>
    <w:p w:rsidR="00F618A2" w:rsidRPr="00F618A2" w:rsidRDefault="00F618A2" w:rsidP="00F618A2">
      <w:pPr>
        <w:ind w:firstLine="1134"/>
        <w:rPr>
          <w:rFonts w:ascii="Times New Roman" w:eastAsia="Times New Roman" w:hAnsi="Times New Roman" w:cs="Times New Roman"/>
          <w:i/>
          <w:sz w:val="24"/>
          <w:szCs w:val="20"/>
          <w:lang w:eastAsia="pt-BR"/>
        </w:rPr>
      </w:pPr>
      <w:r w:rsidRPr="00F618A2">
        <w:rPr>
          <w:rFonts w:ascii="Times New Roman" w:eastAsia="Times New Roman" w:hAnsi="Times New Roman" w:cs="Times New Roman"/>
          <w:sz w:val="24"/>
          <w:szCs w:val="20"/>
          <w:lang w:eastAsia="pt-BR"/>
        </w:rPr>
        <w:t xml:space="preserve">XVII - integralização de cotas do FI-FGTS, respeitado o disposto na alínea </w:t>
      </w:r>
      <w:r w:rsidRPr="00F618A2">
        <w:rPr>
          <w:rFonts w:ascii="Times New Roman" w:eastAsia="Times New Roman" w:hAnsi="Times New Roman" w:cs="Times New Roman"/>
          <w:i/>
          <w:sz w:val="24"/>
          <w:szCs w:val="20"/>
          <w:lang w:eastAsia="pt-BR"/>
        </w:rPr>
        <w:t>i</w:t>
      </w:r>
      <w:r w:rsidRPr="00F618A2">
        <w:rPr>
          <w:rFonts w:ascii="Times New Roman" w:eastAsia="Times New Roman" w:hAnsi="Times New Roman" w:cs="Times New Roman"/>
          <w:sz w:val="24"/>
          <w:szCs w:val="20"/>
          <w:lang w:eastAsia="pt-BR"/>
        </w:rPr>
        <w:t xml:space="preserve"> do inciso XIII do art. 5º desta Lei, permitida a utilização máxima de 30% (trinta por cento) do saldo existente e disponível na data em que exercer a opção. </w:t>
      </w:r>
      <w:hyperlink r:id="rId14" w:history="1">
        <w:r w:rsidRPr="00F618A2">
          <w:rPr>
            <w:rFonts w:ascii="Times New Roman" w:eastAsia="Times New Roman" w:hAnsi="Times New Roman" w:cs="Times New Roman"/>
            <w:i/>
            <w:color w:val="0000FF"/>
            <w:sz w:val="24"/>
            <w:szCs w:val="20"/>
            <w:u w:val="single"/>
            <w:lang w:eastAsia="pt-BR"/>
          </w:rPr>
          <w:t>(Inciso acrescido pela Lei nº 11.491, de 20/6/2007</w:t>
        </w:r>
      </w:hyperlink>
      <w:r w:rsidRPr="00F618A2">
        <w:rPr>
          <w:rFonts w:ascii="Times New Roman" w:eastAsia="Times New Roman" w:hAnsi="Times New Roman" w:cs="Times New Roman"/>
          <w:i/>
          <w:sz w:val="24"/>
          <w:szCs w:val="20"/>
          <w:lang w:eastAsia="pt-BR"/>
        </w:rPr>
        <w:t xml:space="preserve"> e </w:t>
      </w:r>
      <w:hyperlink r:id="rId15" w:history="1">
        <w:r w:rsidRPr="00F618A2">
          <w:rPr>
            <w:rFonts w:ascii="Times New Roman" w:eastAsia="Times New Roman" w:hAnsi="Times New Roman" w:cs="Times New Roman"/>
            <w:i/>
            <w:color w:val="0000FF"/>
            <w:sz w:val="24"/>
            <w:szCs w:val="20"/>
            <w:u w:val="single"/>
            <w:lang w:eastAsia="pt-BR"/>
          </w:rPr>
          <w:t>com nova redação dada pela Lei nº 12.087, de 11/11/2009)</w:t>
        </w:r>
      </w:hyperlink>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 1º A regulamentação das situações previstas nos incisos I e II assegurar que a retirada a que faz jus o trabalhador corresponda aos depósitos efetuados na conta vinculada durante o período de vigência do último contrato de trabalho, acrescida de juros e atualização monetária, deduzidos os saques.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 2º O Conselho Curador disciplinará o disposto no inciso V, visando beneficiar os trabalhadores de baixa renda e preservar o equilíbrio financeiro do FGTS.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 3º O direito de adquirir moradia com recursos do FGTS, pelo trabalhador, só poderá ser exercido para um único imóvel.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 4º O imóvel objeto de utilização do FGTS somente poderá ser objeto de outra transação com recursos do fundo, na forma que vier a ser regulamentada pelo Conselho Curador. </w:t>
      </w: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 5º O pagamento da retirada após o período previsto em regulamento, implicará atualização monetária dos valores devidos. </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sz w:val="24"/>
          <w:szCs w:val="20"/>
          <w:lang w:eastAsia="pt-BR"/>
        </w:rPr>
        <w:t xml:space="preserve">§ 6º Os recursos aplicados em cotas de fundos Mútuos de Privatização, referidos no inciso XII, serão destinados, nas condições aprovadas pelo CND, a aquisições de valores mobiliários, no âmbito do Programa Nacional de Desestatização, de que trata a </w:t>
      </w:r>
      <w:r w:rsidRPr="00F618A2">
        <w:rPr>
          <w:rFonts w:ascii="Times New Roman" w:eastAsia="Times New Roman" w:hAnsi="Times New Roman" w:cs="Times New Roman"/>
          <w:i/>
          <w:sz w:val="24"/>
          <w:szCs w:val="20"/>
          <w:lang w:eastAsia="pt-BR"/>
        </w:rPr>
        <w:t>Lei nº 9.491</w:t>
      </w:r>
      <w:r w:rsidRPr="00F618A2">
        <w:rPr>
          <w:rFonts w:ascii="Times New Roman" w:eastAsia="Times New Roman" w:hAnsi="Times New Roman" w:cs="Times New Roman"/>
          <w:sz w:val="24"/>
          <w:szCs w:val="20"/>
          <w:lang w:eastAsia="pt-BR"/>
        </w:rPr>
        <w:t xml:space="preserve">, de 1997, e de programas estaduais de desestatização, desde que, em ambos os casos, tais destinações sejam aprovadas pelo CND. </w:t>
      </w:r>
      <w:hyperlink r:id="rId16"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r w:rsidRPr="00F618A2">
        <w:rPr>
          <w:rFonts w:ascii="Times New Roman" w:eastAsia="Times New Roman" w:hAnsi="Times New Roman" w:cs="Times New Roman"/>
          <w:i/>
          <w:color w:val="FF0000"/>
          <w:sz w:val="24"/>
          <w:szCs w:val="20"/>
          <w:lang w:eastAsia="pt-BR"/>
        </w:rPr>
        <w:t xml:space="preserve"> </w:t>
      </w:r>
      <w:r w:rsidRPr="00F618A2">
        <w:rPr>
          <w:rFonts w:ascii="Times New Roman" w:eastAsia="Times New Roman" w:hAnsi="Times New Roman" w:cs="Times New Roman"/>
          <w:i/>
          <w:color w:val="000000"/>
          <w:sz w:val="24"/>
          <w:szCs w:val="20"/>
          <w:lang w:eastAsia="pt-BR"/>
        </w:rPr>
        <w:t>e</w:t>
      </w:r>
      <w:r w:rsidRPr="00F618A2">
        <w:rPr>
          <w:rFonts w:ascii="Times New Roman" w:eastAsia="Times New Roman" w:hAnsi="Times New Roman" w:cs="Times New Roman"/>
          <w:i/>
          <w:color w:val="FF0000"/>
          <w:sz w:val="24"/>
          <w:szCs w:val="20"/>
          <w:lang w:eastAsia="pt-BR"/>
        </w:rPr>
        <w:t xml:space="preserve"> </w:t>
      </w:r>
      <w:r w:rsidRPr="00F618A2">
        <w:rPr>
          <w:rFonts w:ascii="Times New Roman" w:eastAsia="Times New Roman" w:hAnsi="Times New Roman" w:cs="Times New Roman"/>
          <w:i/>
          <w:color w:val="FF0000"/>
          <w:sz w:val="24"/>
          <w:szCs w:val="20"/>
          <w:lang w:eastAsia="pt-BR"/>
        </w:rPr>
        <w:fldChar w:fldCharType="begin"/>
      </w:r>
      <w:r w:rsidRPr="00F618A2">
        <w:rPr>
          <w:rFonts w:ascii="Times New Roman" w:eastAsia="Times New Roman" w:hAnsi="Times New Roman" w:cs="Times New Roman"/>
          <w:i/>
          <w:color w:val="FF0000"/>
          <w:sz w:val="24"/>
          <w:szCs w:val="20"/>
          <w:lang w:eastAsia="pt-BR"/>
        </w:rPr>
        <w:instrText xml:space="preserve"> HYPERLINK "http://www2.camara.gov.br/internet/legislacao/legin.html/textos/visualizarTexto.html?ideNorma=367783&amp;seqTexto=1&amp;PalavrasDestaque=" </w:instrText>
      </w:r>
      <w:r w:rsidRPr="00F618A2">
        <w:rPr>
          <w:rFonts w:ascii="Times New Roman" w:eastAsia="Times New Roman" w:hAnsi="Times New Roman" w:cs="Times New Roman"/>
          <w:i/>
          <w:color w:val="FF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com nova redação dada pela Lei nº 9.635, de 15/5/1998)</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i/>
          <w:color w:val="FF0000"/>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 7º Ressalvadas as alienações decorrentes das hipóteses de que trata o § 8º, os valores mobiliários a que se refere o parágrafo anterior só poderão ser integralmente vendidos, pelos respectivos Fundos, seis meses após a sua aquisição, podendo ser alienada em prazo inferior parcela equivalente a 10% (dez por cento) do valor adquirido, autorizada a livre aplicação do produto dessa alienação, nos termos da Lei nº 6.385, de 7 de dezembro de 1976. </w:t>
      </w:r>
      <w:hyperlink r:id="rId17"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r w:rsidRPr="00F618A2">
        <w:rPr>
          <w:rFonts w:ascii="Times New Roman" w:eastAsia="Times New Roman" w:hAnsi="Times New Roman" w:cs="Times New Roman"/>
          <w:i/>
          <w:color w:val="FF0000"/>
          <w:sz w:val="24"/>
          <w:szCs w:val="20"/>
          <w:lang w:eastAsia="pt-BR"/>
        </w:rPr>
        <w:t xml:space="preserve"> </w:t>
      </w:r>
      <w:r w:rsidRPr="00F618A2">
        <w:rPr>
          <w:rFonts w:ascii="Times New Roman" w:eastAsia="Times New Roman" w:hAnsi="Times New Roman" w:cs="Times New Roman"/>
          <w:i/>
          <w:color w:val="000000"/>
          <w:sz w:val="24"/>
          <w:szCs w:val="20"/>
          <w:lang w:eastAsia="pt-BR"/>
        </w:rPr>
        <w:t>e</w:t>
      </w:r>
      <w:r w:rsidRPr="00F618A2">
        <w:rPr>
          <w:rFonts w:ascii="Times New Roman" w:eastAsia="Times New Roman" w:hAnsi="Times New Roman" w:cs="Times New Roman"/>
          <w:i/>
          <w:color w:val="FF0000"/>
          <w:sz w:val="24"/>
          <w:szCs w:val="20"/>
          <w:lang w:eastAsia="pt-BR"/>
        </w:rPr>
        <w:t xml:space="preserve"> </w:t>
      </w:r>
      <w:hyperlink r:id="rId18" w:history="1">
        <w:r w:rsidRPr="00F618A2">
          <w:rPr>
            <w:rFonts w:ascii="Times New Roman" w:eastAsia="Times New Roman" w:hAnsi="Times New Roman" w:cs="Times New Roman"/>
            <w:i/>
            <w:color w:val="0000FF"/>
            <w:sz w:val="24"/>
            <w:szCs w:val="20"/>
            <w:u w:val="single"/>
            <w:lang w:eastAsia="pt-BR"/>
          </w:rPr>
          <w:t>com nova redação dada pela Lei nº 9.635, de 15/5/1998)</w:t>
        </w:r>
      </w:hyperlink>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lastRenderedPageBreak/>
        <w:t xml:space="preserve">§ 8º As aplicações em Fundos Mútuos de Privatização e no FI-FGTS são nominativas, impenhoráveis e, salvo as hipóteses previstas nos incisos I a XI e XIII a XV do </w:t>
      </w:r>
      <w:r w:rsidRPr="00F618A2">
        <w:rPr>
          <w:rFonts w:ascii="Times New Roman" w:eastAsia="Times New Roman" w:hAnsi="Times New Roman" w:cs="Times New Roman"/>
          <w:i/>
          <w:color w:val="000000"/>
          <w:sz w:val="24"/>
          <w:szCs w:val="20"/>
          <w:lang w:eastAsia="pt-BR"/>
        </w:rPr>
        <w:t>caput</w:t>
      </w:r>
      <w:r w:rsidRPr="00F618A2">
        <w:rPr>
          <w:rFonts w:ascii="Times New Roman" w:eastAsia="Times New Roman" w:hAnsi="Times New Roman" w:cs="Times New Roman"/>
          <w:color w:val="000000"/>
          <w:sz w:val="24"/>
          <w:szCs w:val="20"/>
          <w:lang w:eastAsia="pt-BR"/>
        </w:rPr>
        <w:t xml:space="preserve"> deste artigo, indisponíveis por seus titulares</w:t>
      </w:r>
      <w:r w:rsidRPr="00F618A2">
        <w:rPr>
          <w:rFonts w:ascii="Times New Roman" w:eastAsia="Times New Roman" w:hAnsi="Times New Roman" w:cs="Times New Roman"/>
          <w:i/>
          <w:color w:val="000000"/>
          <w:sz w:val="24"/>
          <w:szCs w:val="20"/>
          <w:lang w:eastAsia="pt-BR"/>
        </w:rPr>
        <w:t xml:space="preserve">. </w:t>
      </w:r>
      <w:hyperlink r:id="rId19"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r w:rsidRPr="00F618A2">
        <w:rPr>
          <w:rFonts w:ascii="Times New Roman" w:eastAsia="Times New Roman" w:hAnsi="Times New Roman" w:cs="Times New Roman"/>
          <w:color w:val="FF0000"/>
          <w:sz w:val="24"/>
          <w:szCs w:val="20"/>
          <w:lang w:eastAsia="pt-BR"/>
        </w:rPr>
        <w:t xml:space="preserve"> </w:t>
      </w:r>
      <w:r w:rsidRPr="00F618A2">
        <w:rPr>
          <w:rFonts w:ascii="Times New Roman" w:eastAsia="Times New Roman" w:hAnsi="Times New Roman" w:cs="Times New Roman"/>
          <w:color w:val="000000"/>
          <w:sz w:val="24"/>
          <w:szCs w:val="20"/>
          <w:lang w:eastAsia="pt-BR"/>
        </w:rPr>
        <w:t xml:space="preserve">e  </w:t>
      </w:r>
      <w:hyperlink r:id="rId20" w:history="1">
        <w:r w:rsidRPr="00F618A2">
          <w:rPr>
            <w:rFonts w:ascii="Times New Roman" w:eastAsia="Times New Roman" w:hAnsi="Times New Roman" w:cs="Times New Roman"/>
            <w:i/>
            <w:color w:val="0000FF"/>
            <w:sz w:val="24"/>
            <w:szCs w:val="20"/>
            <w:u w:val="single"/>
            <w:lang w:eastAsia="pt-BR"/>
          </w:rPr>
          <w:t>com nova redação dada pela Lei nº 11.491, de 20/6/2007)</w:t>
        </w:r>
      </w:hyperlink>
    </w:p>
    <w:p w:rsidR="00F618A2" w:rsidRPr="00F618A2" w:rsidRDefault="00F618A2" w:rsidP="00F618A2">
      <w:pPr>
        <w:ind w:firstLine="1134"/>
        <w:rPr>
          <w:rFonts w:ascii="Times New Roman" w:eastAsia="Times New Roman" w:hAnsi="Times New Roman" w:cs="Times New Roman"/>
          <w:i/>
          <w:color w:val="FF0000"/>
          <w:sz w:val="24"/>
          <w:szCs w:val="20"/>
          <w:lang w:eastAsia="pt-BR"/>
        </w:rPr>
      </w:pPr>
      <w:r w:rsidRPr="00F618A2">
        <w:rPr>
          <w:rFonts w:ascii="Times New Roman" w:eastAsia="Times New Roman" w:hAnsi="Times New Roman" w:cs="Times New Roman"/>
          <w:sz w:val="24"/>
          <w:szCs w:val="20"/>
          <w:lang w:eastAsia="pt-BR"/>
        </w:rPr>
        <w:t xml:space="preserve">§ 9º Decorrido o prazo mínimo de doze meses, contados da efetiva transferência das quotas para os Fundos Mútuos de Privatização, os titulares poderão optar pelo retorno para sua conta vinculada no Fundo de Garantia do Tempo de Serviço. </w:t>
      </w:r>
      <w:hyperlink r:id="rId21"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p>
    <w:p w:rsidR="00F618A2" w:rsidRPr="00F618A2" w:rsidRDefault="00F618A2" w:rsidP="00F618A2">
      <w:pPr>
        <w:ind w:firstLine="1134"/>
        <w:rPr>
          <w:rFonts w:ascii="Times New Roman" w:eastAsia="Times New Roman" w:hAnsi="Times New Roman" w:cs="Times New Roman"/>
          <w:i/>
          <w:color w:val="000000"/>
          <w:sz w:val="24"/>
          <w:szCs w:val="20"/>
          <w:lang w:eastAsia="pt-BR"/>
        </w:rPr>
      </w:pPr>
      <w:r w:rsidRPr="00F618A2">
        <w:rPr>
          <w:rFonts w:ascii="Times New Roman" w:eastAsia="Times New Roman" w:hAnsi="Times New Roman" w:cs="Times New Roman"/>
          <w:color w:val="000000"/>
          <w:sz w:val="24"/>
          <w:szCs w:val="20"/>
          <w:lang w:eastAsia="pt-BR"/>
        </w:rPr>
        <w:t>§ 10. A cada período de seis meses, os titulares das aplicações em Fundos Mútuos de Privatização poderão transferi-las para outro fundo de mesma natureza</w:t>
      </w:r>
      <w:r w:rsidRPr="00F618A2">
        <w:rPr>
          <w:rFonts w:ascii="Times New Roman" w:eastAsia="Times New Roman" w:hAnsi="Times New Roman" w:cs="Times New Roman"/>
          <w:i/>
          <w:color w:val="000000"/>
          <w:sz w:val="24"/>
          <w:szCs w:val="20"/>
          <w:lang w:eastAsia="pt-BR"/>
        </w:rPr>
        <w:t xml:space="preserve">. </w:t>
      </w:r>
      <w:hyperlink r:id="rId22"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 11. O montante das aplicações de que trata o § 6º deste artigo ficará limitado ao valor dos créditos contra o Tesouro Nacional de que seja titular o Fundo de Garantia do Tempo de Serviço. </w:t>
      </w:r>
      <w:hyperlink r:id="rId23"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 12. Desde que preservada a participação individual dos quotistas, será permitida a constituição de clubes de investimento, visando a aplicação em quotas de Fundos Mútuos de Privatização. </w:t>
      </w:r>
      <w:hyperlink r:id="rId24"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 xml:space="preserve">§ 13. A garantia a que alude o § 4º do art. 13 desta Lei não compreende as aplicações a que se referem os incisos XII e XVII do </w:t>
      </w:r>
      <w:r w:rsidRPr="00F618A2">
        <w:rPr>
          <w:rFonts w:ascii="Times New Roman" w:eastAsia="Times New Roman" w:hAnsi="Times New Roman" w:cs="Times New Roman"/>
          <w:i/>
          <w:color w:val="000000"/>
          <w:sz w:val="24"/>
          <w:szCs w:val="20"/>
          <w:lang w:eastAsia="pt-BR"/>
        </w:rPr>
        <w:t>caput</w:t>
      </w:r>
      <w:r w:rsidRPr="00F618A2">
        <w:rPr>
          <w:rFonts w:ascii="Times New Roman" w:eastAsia="Times New Roman" w:hAnsi="Times New Roman" w:cs="Times New Roman"/>
          <w:color w:val="000000"/>
          <w:sz w:val="24"/>
          <w:szCs w:val="20"/>
          <w:lang w:eastAsia="pt-BR"/>
        </w:rPr>
        <w:t xml:space="preserve"> deste artigo. </w:t>
      </w:r>
      <w:hyperlink r:id="rId25"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r w:rsidRPr="00F618A2">
        <w:rPr>
          <w:rFonts w:ascii="Times New Roman" w:eastAsia="Times New Roman" w:hAnsi="Times New Roman" w:cs="Times New Roman"/>
          <w:i/>
          <w:color w:val="FF0000"/>
          <w:sz w:val="24"/>
          <w:szCs w:val="20"/>
          <w:lang w:eastAsia="pt-BR"/>
        </w:rPr>
        <w:t xml:space="preserve"> </w:t>
      </w:r>
      <w:r w:rsidRPr="00F618A2">
        <w:rPr>
          <w:rFonts w:ascii="Times New Roman" w:eastAsia="Times New Roman" w:hAnsi="Times New Roman" w:cs="Times New Roman"/>
          <w:i/>
          <w:color w:val="000000"/>
          <w:sz w:val="24"/>
          <w:szCs w:val="20"/>
          <w:lang w:eastAsia="pt-BR"/>
        </w:rPr>
        <w:t xml:space="preserve"> e</w:t>
      </w:r>
      <w:r w:rsidRPr="00F618A2">
        <w:rPr>
          <w:rFonts w:ascii="Times New Roman" w:eastAsia="Times New Roman" w:hAnsi="Times New Roman" w:cs="Times New Roman"/>
          <w:i/>
          <w:color w:val="FF0000"/>
          <w:sz w:val="24"/>
          <w:szCs w:val="20"/>
          <w:lang w:eastAsia="pt-BR"/>
        </w:rPr>
        <w:t xml:space="preserve"> </w:t>
      </w:r>
      <w:hyperlink r:id="rId26" w:history="1">
        <w:r w:rsidRPr="00F618A2">
          <w:rPr>
            <w:rFonts w:ascii="Times New Roman" w:eastAsia="Times New Roman" w:hAnsi="Times New Roman" w:cs="Times New Roman"/>
            <w:i/>
            <w:color w:val="0000FF"/>
            <w:sz w:val="24"/>
            <w:szCs w:val="20"/>
            <w:u w:val="single"/>
            <w:lang w:eastAsia="pt-BR"/>
          </w:rPr>
          <w:t>com nova redação dada pela Lei nº 11.491, de 20/6/2007)</w:t>
        </w:r>
      </w:hyperlink>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 xml:space="preserve">§ 14. Ficam isentos do imposto de renda: </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 xml:space="preserve">I - a parcela dos ganhos nos Fundos Mútuos de Privatização até o limite da remuneração das contas vinculadas de que trata o art. 13 desta Lei, no mesmo período; e </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 xml:space="preserve">II - os ganhos do FI-FGTS e do Fundo de Investimento em Cotas - FIC, de que trata o § 19 deste artigo. </w:t>
      </w:r>
      <w:hyperlink r:id="rId27"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r w:rsidRPr="00F618A2">
        <w:rPr>
          <w:rFonts w:ascii="Times New Roman" w:eastAsia="Times New Roman" w:hAnsi="Times New Roman" w:cs="Times New Roman"/>
          <w:i/>
          <w:color w:val="000000"/>
          <w:sz w:val="24"/>
          <w:szCs w:val="20"/>
          <w:lang w:eastAsia="pt-BR"/>
        </w:rPr>
        <w:t xml:space="preserve"> e </w:t>
      </w:r>
      <w:hyperlink r:id="rId28" w:history="1">
        <w:r w:rsidRPr="00F618A2">
          <w:rPr>
            <w:rFonts w:ascii="Times New Roman" w:eastAsia="Times New Roman" w:hAnsi="Times New Roman" w:cs="Times New Roman"/>
            <w:i/>
            <w:color w:val="0000FF"/>
            <w:sz w:val="24"/>
            <w:szCs w:val="20"/>
            <w:u w:val="single"/>
            <w:lang w:eastAsia="pt-BR"/>
          </w:rPr>
          <w:t>com nova redação dada pela Lei nº 11.491, de 20/6/2007)</w:t>
        </w:r>
      </w:hyperlink>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color w:val="000000"/>
          <w:sz w:val="24"/>
          <w:szCs w:val="20"/>
          <w:lang w:eastAsia="pt-BR"/>
        </w:rPr>
        <w:t xml:space="preserve">§ 15. A transferência de recursos da conta do titular no Fundo de Garantia do Tempo de Serviço em razão da aquisição de ações, nos termos do inciso XII do </w:t>
      </w:r>
      <w:r w:rsidRPr="00F618A2">
        <w:rPr>
          <w:rFonts w:ascii="Times New Roman" w:eastAsia="Times New Roman" w:hAnsi="Times New Roman" w:cs="Times New Roman"/>
          <w:i/>
          <w:color w:val="000000"/>
          <w:sz w:val="24"/>
          <w:szCs w:val="20"/>
          <w:lang w:eastAsia="pt-BR"/>
        </w:rPr>
        <w:t>caput</w:t>
      </w:r>
      <w:r w:rsidRPr="00F618A2">
        <w:rPr>
          <w:rFonts w:ascii="Times New Roman" w:eastAsia="Times New Roman" w:hAnsi="Times New Roman" w:cs="Times New Roman"/>
          <w:color w:val="000000"/>
          <w:sz w:val="24"/>
          <w:szCs w:val="20"/>
          <w:lang w:eastAsia="pt-BR"/>
        </w:rPr>
        <w:t xml:space="preserve"> deste artigo, ou de quotas do FI-FGTS não afetará a base de cálculo da multa rescisória de que tratam os §§ 1º e 2º do art. 18 desta Lei. </w:t>
      </w:r>
      <w:hyperlink r:id="rId29" w:history="1">
        <w:r w:rsidRPr="00F618A2">
          <w:rPr>
            <w:rFonts w:ascii="Times New Roman" w:eastAsia="Times New Roman" w:hAnsi="Times New Roman" w:cs="Times New Roman"/>
            <w:i/>
            <w:color w:val="0000FF"/>
            <w:sz w:val="24"/>
            <w:szCs w:val="20"/>
            <w:u w:val="single"/>
            <w:lang w:eastAsia="pt-BR"/>
          </w:rPr>
          <w:t>(Parágrafo acrescido pela Lei nº 9.491, de 9/9/1997</w:t>
        </w:r>
      </w:hyperlink>
      <w:r w:rsidRPr="00F618A2">
        <w:rPr>
          <w:rFonts w:ascii="Times New Roman" w:eastAsia="Times New Roman" w:hAnsi="Times New Roman" w:cs="Times New Roman"/>
          <w:i/>
          <w:color w:val="FF0000"/>
          <w:sz w:val="24"/>
          <w:szCs w:val="20"/>
          <w:lang w:eastAsia="pt-BR"/>
        </w:rPr>
        <w:t xml:space="preserve"> </w:t>
      </w:r>
      <w:r w:rsidRPr="00F618A2">
        <w:rPr>
          <w:rFonts w:ascii="Times New Roman" w:eastAsia="Times New Roman" w:hAnsi="Times New Roman" w:cs="Times New Roman"/>
          <w:i/>
          <w:color w:val="000000"/>
          <w:sz w:val="24"/>
          <w:szCs w:val="20"/>
          <w:lang w:eastAsia="pt-BR"/>
        </w:rPr>
        <w:t>e</w:t>
      </w:r>
      <w:r w:rsidRPr="00F618A2">
        <w:rPr>
          <w:rFonts w:ascii="Times New Roman" w:eastAsia="Times New Roman" w:hAnsi="Times New Roman" w:cs="Times New Roman"/>
          <w:i/>
          <w:color w:val="FF0000"/>
          <w:sz w:val="24"/>
          <w:szCs w:val="20"/>
          <w:lang w:eastAsia="pt-BR"/>
        </w:rPr>
        <w:t xml:space="preserve"> </w:t>
      </w:r>
      <w:hyperlink r:id="rId30" w:history="1">
        <w:r w:rsidRPr="00F618A2">
          <w:rPr>
            <w:rFonts w:ascii="Times New Roman" w:eastAsia="Times New Roman" w:hAnsi="Times New Roman" w:cs="Times New Roman"/>
            <w:i/>
            <w:color w:val="0000FF"/>
            <w:sz w:val="24"/>
            <w:szCs w:val="20"/>
            <w:u w:val="single"/>
            <w:lang w:eastAsia="pt-BR"/>
          </w:rPr>
          <w:t>com nova redação dada pela Lei nº 11.491, de 20/6/2007)</w:t>
        </w:r>
      </w:hyperlink>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color w:val="000000"/>
          <w:sz w:val="24"/>
          <w:szCs w:val="20"/>
          <w:lang w:eastAsia="pt-BR"/>
        </w:rPr>
        <w:t xml:space="preserve">§ 16. Os clubes de investimento a que se refere o § 12 poderão resgatar, durante os seis primeiros meses da sua constituição, parcela equivalente a 5% (cinco por cento) das </w:t>
      </w:r>
      <w:proofErr w:type="spellStart"/>
      <w:r w:rsidRPr="00F618A2">
        <w:rPr>
          <w:rFonts w:ascii="Times New Roman" w:eastAsia="Times New Roman" w:hAnsi="Times New Roman" w:cs="Times New Roman"/>
          <w:color w:val="000000"/>
          <w:sz w:val="24"/>
          <w:szCs w:val="20"/>
          <w:lang w:eastAsia="pt-BR"/>
        </w:rPr>
        <w:t>cuotas</w:t>
      </w:r>
      <w:proofErr w:type="spellEnd"/>
      <w:r w:rsidRPr="00F618A2">
        <w:rPr>
          <w:rFonts w:ascii="Times New Roman" w:eastAsia="Times New Roman" w:hAnsi="Times New Roman" w:cs="Times New Roman"/>
          <w:color w:val="000000"/>
          <w:sz w:val="24"/>
          <w:szCs w:val="20"/>
          <w:lang w:eastAsia="pt-BR"/>
        </w:rPr>
        <w:t xml:space="preserve"> adquiridas, para atendimento de seus desembolsos, autorizada a livre aplicação do produto dessa venda, nos termos da Lei nº 6.385, de 7 de dezembro de 1976. </w:t>
      </w:r>
      <w:r w:rsidRPr="00F618A2">
        <w:rPr>
          <w:rFonts w:ascii="Times New Roman" w:eastAsia="Times New Roman" w:hAnsi="Times New Roman" w:cs="Times New Roman"/>
          <w:i/>
          <w:color w:val="000000"/>
          <w:sz w:val="24"/>
          <w:szCs w:val="20"/>
          <w:lang w:eastAsia="pt-BR"/>
        </w:rPr>
        <w:fldChar w:fldCharType="begin"/>
      </w:r>
      <w:r w:rsidRPr="00F618A2">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"http://www2.camara.gov.br/internet/legislacao/legin.html/textos/visualizarTexto.html?ideNorma=367783&amp;seqTexto=1&amp;PalavrasDestaque=" </w:instrText>
      </w:r>
      <w:r w:rsidRPr="00F618A2">
        <w:rPr>
          <w:rFonts w:ascii="Times New Roman" w:eastAsia="Times New Roman" w:hAnsi="Times New Roman" w:cs="Times New Roman"/>
          <w:i/>
          <w:color w:val="00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(Parágrafo com redação dada pela Lei nº 9.635, de 15/5/1998)</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i/>
          <w:color w:val="000000"/>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 17. Fica vedada a movimentação da conta vinculada do FGTS nas modalidades previstas nos incisos V, VI e VII deste artigo, nas operações firmadas, a partir de 25 de junho de 1998, no caso em que o adquirente já seja proprietário ou promitente comprador de imóvel localizado no Município onde resida, bem como no caso em que o adquirente já detenha, em qualquer parte do País, pelo menos um financiamento nas condições do SFH. </w:t>
      </w:r>
      <w:r w:rsidRPr="00F618A2">
        <w:rPr>
          <w:rFonts w:ascii="Times New Roman" w:eastAsia="Times New Roman" w:hAnsi="Times New Roman" w:cs="Times New Roman"/>
          <w:i/>
          <w:color w:val="000000"/>
          <w:sz w:val="24"/>
          <w:szCs w:val="20"/>
          <w:lang w:eastAsia="pt-BR"/>
        </w:rPr>
        <w:fldChar w:fldCharType="begin"/>
      </w:r>
      <w:r w:rsidRPr="00F618A2">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"http://www2.camara.gov.br/internet/legislacao/legin.html/textos/visualizarTexto.html?ideNorma=390951&amp;seqTexto=1&amp;PalavrasDestaque=" </w:instrText>
      </w:r>
      <w:r w:rsidRPr="00F618A2">
        <w:rPr>
          <w:rFonts w:ascii="Times New Roman" w:eastAsia="Times New Roman" w:hAnsi="Times New Roman" w:cs="Times New Roman"/>
          <w:i/>
          <w:color w:val="00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(Parágrafo acrescido pela Medida Provisória nº 2.197-43, de 24/8/2001)</w:t>
      </w:r>
    </w:p>
    <w:p w:rsidR="00F618A2" w:rsidRPr="00F618A2" w:rsidRDefault="00F618A2" w:rsidP="00F618A2">
      <w:pPr>
        <w:ind w:firstLine="1134"/>
        <w:rPr>
          <w:rFonts w:ascii="Times New Roman" w:eastAsia="Times New Roman" w:hAnsi="Times New Roman" w:cs="Times New Roman"/>
          <w:color w:val="FF0000"/>
          <w:sz w:val="24"/>
          <w:szCs w:val="20"/>
          <w:lang w:eastAsia="pt-BR"/>
        </w:rPr>
      </w:pPr>
      <w:r w:rsidRPr="00F618A2">
        <w:rPr>
          <w:rFonts w:ascii="Times New Roman" w:eastAsia="Times New Roman" w:hAnsi="Times New Roman" w:cs="Times New Roman"/>
          <w:i/>
          <w:color w:val="000000"/>
          <w:sz w:val="24"/>
          <w:szCs w:val="20"/>
          <w:lang w:eastAsia="pt-BR"/>
        </w:rPr>
        <w:fldChar w:fldCharType="end"/>
      </w:r>
      <w:r w:rsidRPr="00F618A2">
        <w:rPr>
          <w:rFonts w:ascii="Times New Roman" w:eastAsia="Times New Roman" w:hAnsi="Times New Roman" w:cs="Times New Roman"/>
          <w:sz w:val="24"/>
          <w:szCs w:val="20"/>
          <w:lang w:eastAsia="pt-BR"/>
        </w:rPr>
        <w:t xml:space="preserve">§ 18. É indispensável o comparecimento pessoal do titular da conta vinculada para o pagamento da retirada nas hipóteses previstas nos incisos I, II, III, VIII, IX e X deste artigo, salvo em caso de grave moléstia comprovada por perícia médica, quando será paga a procurador especialmente constituído para esse fim. </w:t>
      </w:r>
      <w:hyperlink r:id="rId31" w:history="1">
        <w:r w:rsidRPr="00F618A2">
          <w:rPr>
            <w:rFonts w:ascii="Times New Roman" w:eastAsia="Times New Roman" w:hAnsi="Times New Roman" w:cs="Times New Roman"/>
            <w:i/>
            <w:color w:val="0000FF"/>
            <w:sz w:val="24"/>
            <w:szCs w:val="20"/>
            <w:u w:val="single"/>
            <w:lang w:eastAsia="pt-BR"/>
          </w:rPr>
          <w:t>(Parágrafo acrescido pela Medida Provisória nº 2.197-43, de 24/8/2001)</w:t>
        </w:r>
      </w:hyperlink>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color w:val="000000"/>
          <w:sz w:val="24"/>
          <w:szCs w:val="20"/>
          <w:lang w:eastAsia="pt-BR"/>
        </w:rPr>
        <w:t xml:space="preserve">§ 19. A integralização das cotas previstas no inciso XVII do </w:t>
      </w:r>
      <w:r w:rsidRPr="00F618A2">
        <w:rPr>
          <w:rFonts w:ascii="Times New Roman" w:eastAsia="Times New Roman" w:hAnsi="Times New Roman" w:cs="Times New Roman"/>
          <w:i/>
          <w:color w:val="000000"/>
          <w:sz w:val="24"/>
          <w:szCs w:val="20"/>
          <w:lang w:eastAsia="pt-BR"/>
        </w:rPr>
        <w:t>caput</w:t>
      </w:r>
      <w:r w:rsidRPr="00F618A2">
        <w:rPr>
          <w:rFonts w:ascii="Times New Roman" w:eastAsia="Times New Roman" w:hAnsi="Times New Roman" w:cs="Times New Roman"/>
          <w:color w:val="000000"/>
          <w:sz w:val="24"/>
          <w:szCs w:val="20"/>
          <w:lang w:eastAsia="pt-BR"/>
        </w:rPr>
        <w:t xml:space="preserve"> deste artigo será realizada por meio de Fundo de Investimento em Cotas - FIC, constituído pela Caixa </w:t>
      </w:r>
      <w:r w:rsidRPr="00F618A2">
        <w:rPr>
          <w:rFonts w:ascii="Times New Roman" w:eastAsia="Times New Roman" w:hAnsi="Times New Roman" w:cs="Times New Roman"/>
          <w:color w:val="000000"/>
          <w:sz w:val="24"/>
          <w:szCs w:val="20"/>
          <w:lang w:eastAsia="pt-BR"/>
        </w:rPr>
        <w:lastRenderedPageBreak/>
        <w:t xml:space="preserve">Econômica Federal especificamente para essa finalidade. </w:t>
      </w:r>
      <w:r w:rsidRPr="00F618A2">
        <w:rPr>
          <w:rFonts w:ascii="Times New Roman" w:eastAsia="Times New Roman" w:hAnsi="Times New Roman" w:cs="Times New Roman"/>
          <w:i/>
          <w:color w:val="000000"/>
          <w:sz w:val="24"/>
          <w:szCs w:val="20"/>
          <w:lang w:eastAsia="pt-BR"/>
        </w:rPr>
        <w:fldChar w:fldCharType="begin"/>
      </w:r>
      <w:r w:rsidRPr="00F618A2">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"http://www2.camara.gov.br/internet/legislacao/legin.html/textos/visualizarTexto.html?ideNorma=555605&amp;seqTexto=74916&amp;PalavrasDestaque=" </w:instrText>
      </w:r>
      <w:r w:rsidRPr="00F618A2">
        <w:rPr>
          <w:rFonts w:ascii="Times New Roman" w:eastAsia="Times New Roman" w:hAnsi="Times New Roman" w:cs="Times New Roman"/>
          <w:i/>
          <w:color w:val="00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(Parágrafo acrescido pela Lei nº 11.491, de 20/6/2007)</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i/>
          <w:color w:val="000000"/>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 20. A Comissão de Valores Mobiliários estabelecerá os requisitos para a integralização das cotas referidas no § 19 deste artigo, devendo condicioná-la pelo menos ao atendimento das seguintes exigências: </w:t>
      </w:r>
      <w:r w:rsidRPr="00F618A2">
        <w:rPr>
          <w:rFonts w:ascii="Times New Roman" w:eastAsia="Times New Roman" w:hAnsi="Times New Roman" w:cs="Times New Roman"/>
          <w:i/>
          <w:color w:val="000000"/>
          <w:sz w:val="24"/>
          <w:szCs w:val="20"/>
          <w:lang w:eastAsia="pt-BR"/>
        </w:rPr>
        <w:fldChar w:fldCharType="begin"/>
      </w:r>
      <w:r w:rsidRPr="00F618A2">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"http://www2.camara.gov.br/internet/legislacao/legin.html/textos/visualizarTexto.html?ideNorma=555605&amp;seqTexto=74916&amp;PalavrasDestaque=" </w:instrText>
      </w:r>
      <w:r w:rsidRPr="00F618A2">
        <w:rPr>
          <w:rFonts w:ascii="Times New Roman" w:eastAsia="Times New Roman" w:hAnsi="Times New Roman" w:cs="Times New Roman"/>
          <w:i/>
          <w:color w:val="00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(“Caput” do parágrafo com redação dada pela Lei nº 11.491, de 20/6/2007)</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i/>
          <w:color w:val="000000"/>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I - elaboração e entrega de prospecto ao trabalhador; e </w:t>
      </w:r>
      <w:r w:rsidRPr="00F618A2">
        <w:rPr>
          <w:rFonts w:ascii="Times New Roman" w:eastAsia="Times New Roman" w:hAnsi="Times New Roman" w:cs="Times New Roman"/>
          <w:i/>
          <w:color w:val="000000"/>
          <w:sz w:val="24"/>
          <w:szCs w:val="20"/>
          <w:lang w:eastAsia="pt-BR"/>
        </w:rPr>
        <w:fldChar w:fldCharType="begin"/>
      </w:r>
      <w:r w:rsidRPr="00F618A2">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"http://www2.camara.gov.br/internet/legislacao/legin.html/textos/visualizarTexto.html?ideNorma=555605&amp;seqTexto=74916&amp;PalavrasDestaque=" </w:instrText>
      </w:r>
      <w:r w:rsidRPr="00F618A2">
        <w:rPr>
          <w:rFonts w:ascii="Times New Roman" w:eastAsia="Times New Roman" w:hAnsi="Times New Roman" w:cs="Times New Roman"/>
          <w:i/>
          <w:color w:val="00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(Inciso acrescido pela Lei nº 11.491, de 20/6/2007)</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i/>
          <w:color w:val="000000"/>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II - declaração, por escrito, individual e específica, pelo trabalhador, de sua ciência quanto aos riscos do investimento que está realizando. </w:t>
      </w:r>
      <w:r w:rsidRPr="00F618A2">
        <w:rPr>
          <w:rFonts w:ascii="Times New Roman" w:eastAsia="Times New Roman" w:hAnsi="Times New Roman" w:cs="Times New Roman"/>
          <w:i/>
          <w:color w:val="000000"/>
          <w:sz w:val="24"/>
          <w:szCs w:val="20"/>
          <w:lang w:eastAsia="pt-BR"/>
        </w:rPr>
        <w:fldChar w:fldCharType="begin"/>
      </w:r>
      <w:r w:rsidRPr="00F618A2">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"http://www2.camara.gov.br/internet/legislacao/legin.html/textos/visualizarTexto.html?ideNorma=555605&amp;seqTexto=74916&amp;PalavrasDestaque=" </w:instrText>
      </w:r>
      <w:r w:rsidRPr="00F618A2">
        <w:rPr>
          <w:rFonts w:ascii="Times New Roman" w:eastAsia="Times New Roman" w:hAnsi="Times New Roman" w:cs="Times New Roman"/>
          <w:i/>
          <w:color w:val="000000"/>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(Inciso acrescido pela Lei nº 11.491, de 20/6/2007)</w:t>
      </w:r>
    </w:p>
    <w:p w:rsidR="00F618A2" w:rsidRPr="00F618A2" w:rsidRDefault="00F618A2" w:rsidP="00F618A2">
      <w:pPr>
        <w:ind w:firstLine="1134"/>
        <w:rPr>
          <w:rFonts w:ascii="Times New Roman" w:eastAsia="Times New Roman" w:hAnsi="Times New Roman" w:cs="Times New Roman"/>
          <w:i/>
          <w:color w:val="000000"/>
          <w:sz w:val="24"/>
          <w:szCs w:val="20"/>
          <w:lang w:eastAsia="pt-BR"/>
        </w:rPr>
      </w:pPr>
      <w:r w:rsidRPr="00F618A2">
        <w:rPr>
          <w:rFonts w:ascii="Times New Roman" w:eastAsia="Times New Roman" w:hAnsi="Times New Roman" w:cs="Times New Roman"/>
          <w:i/>
          <w:color w:val="000000"/>
          <w:sz w:val="24"/>
          <w:szCs w:val="20"/>
          <w:lang w:eastAsia="pt-BR"/>
        </w:rPr>
        <w:fldChar w:fldCharType="end"/>
      </w:r>
      <w:r w:rsidRPr="00F618A2">
        <w:rPr>
          <w:rFonts w:ascii="Times New Roman" w:eastAsia="Times New Roman" w:hAnsi="Times New Roman" w:cs="Times New Roman"/>
          <w:color w:val="000000"/>
          <w:sz w:val="24"/>
          <w:szCs w:val="20"/>
          <w:lang w:eastAsia="pt-BR"/>
        </w:rPr>
        <w:t xml:space="preserve">§ 21. As movimentações autorizadas nos incisos V e VI do </w:t>
      </w:r>
      <w:r w:rsidRPr="00F618A2">
        <w:rPr>
          <w:rFonts w:ascii="Times New Roman" w:eastAsia="Times New Roman" w:hAnsi="Times New Roman" w:cs="Times New Roman"/>
          <w:i/>
          <w:color w:val="000000"/>
          <w:sz w:val="24"/>
          <w:szCs w:val="20"/>
          <w:lang w:eastAsia="pt-BR"/>
        </w:rPr>
        <w:t>caput</w:t>
      </w:r>
      <w:r w:rsidRPr="00F618A2">
        <w:rPr>
          <w:rFonts w:ascii="Times New Roman" w:eastAsia="Times New Roman" w:hAnsi="Times New Roman" w:cs="Times New Roman"/>
          <w:color w:val="000000"/>
          <w:sz w:val="24"/>
          <w:szCs w:val="20"/>
          <w:lang w:eastAsia="pt-BR"/>
        </w:rPr>
        <w:t xml:space="preserve"> serão estendidas aos contratos de participação de grupo de consórcio para aquisição de imóvel residencial, cujo bem já tenha sido adquirido pelo consorciado, na forma a ser regulamentada pelo Conselho Curador do FGTS. </w:t>
      </w:r>
      <w:hyperlink r:id="rId32" w:history="1">
        <w:r w:rsidRPr="00F618A2">
          <w:rPr>
            <w:rFonts w:ascii="Times New Roman" w:eastAsia="Times New Roman" w:hAnsi="Times New Roman" w:cs="Times New Roman"/>
            <w:i/>
            <w:color w:val="0000FF"/>
            <w:sz w:val="24"/>
            <w:szCs w:val="20"/>
            <w:u w:val="single"/>
            <w:lang w:eastAsia="pt-BR"/>
          </w:rPr>
          <w:t>(Parágrafo acrescido pela Lei nº 12.058, de 13/10/2009)</w:t>
        </w:r>
      </w:hyperlink>
    </w:p>
    <w:p w:rsidR="00F618A2" w:rsidRPr="00F618A2" w:rsidRDefault="00F618A2" w:rsidP="00F618A2">
      <w:pPr>
        <w:ind w:firstLine="1134"/>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sz w:val="24"/>
          <w:szCs w:val="20"/>
          <w:lang w:eastAsia="pt-BR"/>
        </w:rPr>
      </w:pPr>
      <w:r w:rsidRPr="00F618A2">
        <w:rPr>
          <w:rFonts w:ascii="Times New Roman" w:eastAsia="Times New Roman" w:hAnsi="Times New Roman" w:cs="Times New Roman"/>
          <w:sz w:val="24"/>
          <w:szCs w:val="20"/>
          <w:lang w:eastAsia="pt-BR"/>
        </w:rPr>
        <w:t xml:space="preserve">Art. 21. Os saldos das contas não individualizadas e das contas vinculadas que se conservem ininterruptamente sem créditos de depósitos por mais de cinco anos, a partir de 1º de junho de 1990, em razão de o seu titular ter estado fora do regime do FGTS, serão incorporados ao patrimônio do Fundo, resguardado o direito do beneficiário reclamar, a qualquer tempo, a reposição do valor transferido. </w:t>
      </w:r>
    </w:p>
    <w:p w:rsidR="00F618A2" w:rsidRPr="00F618A2" w:rsidRDefault="00F618A2" w:rsidP="00F618A2">
      <w:pPr>
        <w:ind w:firstLine="1134"/>
        <w:rPr>
          <w:rFonts w:ascii="Times New Roman" w:eastAsia="Times New Roman" w:hAnsi="Times New Roman" w:cs="Times New Roman"/>
          <w:i/>
          <w:color w:val="0000FF"/>
          <w:sz w:val="24"/>
          <w:szCs w:val="20"/>
          <w:u w:val="single"/>
          <w:lang w:eastAsia="pt-BR"/>
        </w:rPr>
      </w:pPr>
      <w:r w:rsidRPr="00F618A2">
        <w:rPr>
          <w:rFonts w:ascii="Times New Roman" w:eastAsia="Times New Roman" w:hAnsi="Times New Roman" w:cs="Times New Roman"/>
          <w:sz w:val="24"/>
          <w:szCs w:val="20"/>
          <w:lang w:eastAsia="pt-BR"/>
        </w:rPr>
        <w:t xml:space="preserve">Parágrafo único. O valor, quando reclamado, será pago ao trabalhador acrescido da remuneração prevista no § 2º do art. 13 desta Lei. </w:t>
      </w:r>
      <w:r w:rsidRPr="00F618A2">
        <w:rPr>
          <w:rFonts w:ascii="Times New Roman" w:eastAsia="Times New Roman" w:hAnsi="Times New Roman" w:cs="Times New Roman"/>
          <w:i/>
          <w:sz w:val="24"/>
          <w:szCs w:val="20"/>
          <w:lang w:eastAsia="pt-BR"/>
        </w:rPr>
        <w:fldChar w:fldCharType="begin"/>
      </w:r>
      <w:r w:rsidRPr="00F618A2">
        <w:rPr>
          <w:rFonts w:ascii="Times New Roman" w:eastAsia="Times New Roman" w:hAnsi="Times New Roman" w:cs="Times New Roman"/>
          <w:i/>
          <w:sz w:val="24"/>
          <w:szCs w:val="20"/>
          <w:lang w:eastAsia="pt-BR"/>
        </w:rPr>
        <w:instrText xml:space="preserve"> HYPERLINK "http://www2.camara.gov.br/internet/legislacao/legin.html/textos/visualizarTexto.html?ideNorma=372597&amp;seqTexto=1&amp;PalavrasDestaque=" </w:instrText>
      </w:r>
      <w:r w:rsidRPr="00F618A2">
        <w:rPr>
          <w:rFonts w:ascii="Times New Roman" w:eastAsia="Times New Roman" w:hAnsi="Times New Roman" w:cs="Times New Roman"/>
          <w:i/>
          <w:sz w:val="24"/>
          <w:szCs w:val="20"/>
          <w:lang w:eastAsia="pt-BR"/>
        </w:rPr>
        <w:fldChar w:fldCharType="separate"/>
      </w:r>
      <w:r w:rsidRPr="00F618A2">
        <w:rPr>
          <w:rFonts w:ascii="Times New Roman" w:eastAsia="Times New Roman" w:hAnsi="Times New Roman" w:cs="Times New Roman"/>
          <w:i/>
          <w:color w:val="0000FF"/>
          <w:sz w:val="24"/>
          <w:szCs w:val="20"/>
          <w:u w:val="single"/>
          <w:lang w:eastAsia="pt-BR"/>
        </w:rPr>
        <w:t>(Artigo com redação dada pela Lei nº 8.678, de 13/7/1993)</w:t>
      </w:r>
    </w:p>
    <w:p w:rsidR="00F618A2" w:rsidRPr="00F618A2" w:rsidRDefault="00F618A2" w:rsidP="00F618A2">
      <w:pPr>
        <w:jc w:val="cente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i/>
          <w:sz w:val="24"/>
          <w:szCs w:val="20"/>
          <w:lang w:eastAsia="pt-BR"/>
        </w:rPr>
        <w:fldChar w:fldCharType="end"/>
      </w:r>
      <w:r w:rsidRPr="00F618A2">
        <w:rPr>
          <w:rFonts w:ascii="Times New Roman" w:eastAsia="Times New Roman" w:hAnsi="Times New Roman" w:cs="Times New Roman"/>
          <w:szCs w:val="20"/>
          <w:lang w:eastAsia="pt-BR"/>
        </w:rPr>
        <w:t>.....................................................................................................................................................................................</w:t>
      </w:r>
      <w:r w:rsidRPr="00F618A2">
        <w:rPr>
          <w:rFonts w:ascii="Times New Roman" w:eastAsia="Times New Roman" w:hAnsi="Times New Roman" w:cs="Times New Roman"/>
          <w:color w:val="000000"/>
          <w:sz w:val="24"/>
          <w:szCs w:val="20"/>
          <w:lang w:eastAsia="pt-BR"/>
        </w:rPr>
        <w:t xml:space="preserve"> </w:t>
      </w:r>
    </w:p>
    <w:p w:rsidR="00F618A2" w:rsidRPr="00F618A2" w:rsidRDefault="00F618A2" w:rsidP="00F618A2">
      <w:pPr>
        <w:jc w:val="cente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szCs w:val="20"/>
          <w:lang w:eastAsia="pt-BR"/>
        </w:rPr>
        <w:t>.....................................................................................................................................................................................</w:t>
      </w:r>
      <w:r w:rsidRPr="00F618A2">
        <w:rPr>
          <w:rFonts w:ascii="Times New Roman" w:eastAsia="Times New Roman" w:hAnsi="Times New Roman" w:cs="Times New Roman"/>
          <w:color w:val="000000"/>
          <w:sz w:val="24"/>
          <w:szCs w:val="20"/>
          <w:lang w:eastAsia="pt-BR"/>
        </w:rPr>
        <w:t xml:space="preserve"> </w:t>
      </w:r>
    </w:p>
    <w:p w:rsidR="00F618A2" w:rsidRDefault="00F618A2" w:rsidP="00F618A2">
      <w:pPr>
        <w:jc w:val="center"/>
        <w:rPr>
          <w:rFonts w:ascii="Times New Roman" w:eastAsia="Times New Roman" w:hAnsi="Times New Roman" w:cs="Times New Roman"/>
          <w:color w:val="000000"/>
          <w:sz w:val="24"/>
          <w:szCs w:val="20"/>
          <w:lang w:eastAsia="pt-BR"/>
        </w:rPr>
      </w:pPr>
    </w:p>
    <w:p w:rsidR="00F618A2" w:rsidRDefault="00F618A2" w:rsidP="00F618A2">
      <w:pPr>
        <w:jc w:val="center"/>
        <w:rPr>
          <w:rFonts w:ascii="Times New Roman" w:eastAsia="Times New Roman" w:hAnsi="Times New Roman" w:cs="Times New Roman"/>
          <w:color w:val="000000"/>
          <w:sz w:val="24"/>
          <w:szCs w:val="20"/>
          <w:lang w:eastAsia="pt-BR"/>
        </w:rPr>
      </w:pPr>
    </w:p>
    <w:p w:rsidR="00F618A2" w:rsidRPr="00F618A2" w:rsidRDefault="00F618A2" w:rsidP="00F618A2">
      <w:pPr>
        <w:jc w:val="center"/>
        <w:rPr>
          <w:rFonts w:ascii="Times New Roman" w:eastAsia="Times New Roman" w:hAnsi="Times New Roman" w:cs="Times New Roman"/>
          <w:b/>
          <w:color w:val="000000"/>
          <w:sz w:val="28"/>
          <w:szCs w:val="20"/>
          <w:lang w:eastAsia="pt-BR"/>
        </w:rPr>
      </w:pPr>
      <w:r w:rsidRPr="00F618A2">
        <w:rPr>
          <w:rFonts w:ascii="Times New Roman" w:eastAsia="Times New Roman" w:hAnsi="Times New Roman" w:cs="Times New Roman"/>
          <w:b/>
          <w:color w:val="000000"/>
          <w:sz w:val="28"/>
          <w:szCs w:val="20"/>
          <w:lang w:eastAsia="pt-BR"/>
        </w:rPr>
        <w:t>AGÊNCIA NACIONAL DE ENERGIA ELÉTRICA – ANEEL</w:t>
      </w:r>
    </w:p>
    <w:p w:rsidR="00F618A2" w:rsidRPr="00F618A2" w:rsidRDefault="00F618A2" w:rsidP="00F618A2">
      <w:pPr>
        <w:jc w:val="center"/>
        <w:rPr>
          <w:rFonts w:ascii="Times New Roman" w:eastAsia="Times New Roman" w:hAnsi="Times New Roman" w:cs="Times New Roman"/>
          <w:b/>
          <w:color w:val="000000"/>
          <w:sz w:val="28"/>
          <w:szCs w:val="20"/>
          <w:lang w:eastAsia="pt-BR"/>
        </w:rPr>
      </w:pPr>
      <w:r w:rsidRPr="00F618A2">
        <w:rPr>
          <w:rFonts w:ascii="Times New Roman" w:eastAsia="Times New Roman" w:hAnsi="Times New Roman" w:cs="Times New Roman"/>
          <w:b/>
          <w:color w:val="000000"/>
          <w:sz w:val="28"/>
          <w:szCs w:val="20"/>
          <w:lang w:eastAsia="pt-BR"/>
        </w:rPr>
        <w:t>RESOLUÇÃO NORMATIVA Nº 482, DE 17 DE ABRIL DE 2012</w:t>
      </w:r>
    </w:p>
    <w:p w:rsidR="00F618A2" w:rsidRPr="00F618A2" w:rsidRDefault="00F618A2" w:rsidP="00F618A2">
      <w:pPr>
        <w:rPr>
          <w:rFonts w:ascii="Times New Roman" w:eastAsia="Times New Roman" w:hAnsi="Times New Roman" w:cs="Times New Roman"/>
          <w:color w:val="000000"/>
          <w:sz w:val="24"/>
          <w:szCs w:val="20"/>
          <w:lang w:eastAsia="pt-BR"/>
        </w:rPr>
      </w:pPr>
    </w:p>
    <w:p w:rsidR="00F618A2" w:rsidRPr="00F618A2" w:rsidRDefault="00F618A2" w:rsidP="00F618A2">
      <w:pPr>
        <w:rPr>
          <w:rFonts w:ascii="Times New Roman" w:eastAsia="Times New Roman" w:hAnsi="Times New Roman" w:cs="Times New Roman"/>
          <w:color w:val="000000"/>
          <w:sz w:val="24"/>
          <w:szCs w:val="20"/>
          <w:lang w:eastAsia="pt-BR"/>
        </w:rPr>
      </w:pPr>
    </w:p>
    <w:p w:rsidR="00F618A2" w:rsidRPr="00F618A2" w:rsidRDefault="00F618A2" w:rsidP="00F618A2">
      <w:pPr>
        <w:ind w:left="4536"/>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Estabelece as condições gerais para o acesso de </w:t>
      </w:r>
      <w:proofErr w:type="spellStart"/>
      <w:r w:rsidRPr="00F618A2">
        <w:rPr>
          <w:rFonts w:ascii="Times New Roman" w:eastAsia="Times New Roman" w:hAnsi="Times New Roman" w:cs="Times New Roman"/>
          <w:color w:val="000000"/>
          <w:sz w:val="24"/>
          <w:szCs w:val="20"/>
          <w:lang w:eastAsia="pt-BR"/>
        </w:rPr>
        <w:t>microgeração</w:t>
      </w:r>
      <w:proofErr w:type="spellEnd"/>
      <w:r w:rsidRPr="00F618A2">
        <w:rPr>
          <w:rFonts w:ascii="Times New Roman" w:eastAsia="Times New Roman" w:hAnsi="Times New Roman" w:cs="Times New Roman"/>
          <w:color w:val="000000"/>
          <w:sz w:val="24"/>
          <w:szCs w:val="20"/>
          <w:lang w:eastAsia="pt-BR"/>
        </w:rPr>
        <w:t xml:space="preserve"> e </w:t>
      </w:r>
      <w:proofErr w:type="spellStart"/>
      <w:r w:rsidRPr="00F618A2">
        <w:rPr>
          <w:rFonts w:ascii="Times New Roman" w:eastAsia="Times New Roman" w:hAnsi="Times New Roman" w:cs="Times New Roman"/>
          <w:color w:val="000000"/>
          <w:sz w:val="24"/>
          <w:szCs w:val="20"/>
          <w:lang w:eastAsia="pt-BR"/>
        </w:rPr>
        <w:t>minigeração</w:t>
      </w:r>
      <w:proofErr w:type="spellEnd"/>
      <w:r w:rsidRPr="00F618A2">
        <w:rPr>
          <w:rFonts w:ascii="Times New Roman" w:eastAsia="Times New Roman" w:hAnsi="Times New Roman" w:cs="Times New Roman"/>
          <w:color w:val="000000"/>
          <w:sz w:val="24"/>
          <w:szCs w:val="20"/>
          <w:lang w:eastAsia="pt-BR"/>
        </w:rPr>
        <w:t xml:space="preserve"> distribuída aos sistemas de distribuição de energia elétrica, o sistema de compensação de energia elétrica, e dá outras providências.</w:t>
      </w:r>
    </w:p>
    <w:p w:rsidR="00F618A2" w:rsidRPr="00F618A2" w:rsidRDefault="00F618A2" w:rsidP="00F618A2">
      <w:pPr>
        <w:rPr>
          <w:rFonts w:ascii="Times New Roman" w:eastAsia="Times New Roman" w:hAnsi="Times New Roman" w:cs="Times New Roman"/>
          <w:color w:val="000000"/>
          <w:sz w:val="24"/>
          <w:szCs w:val="20"/>
          <w:lang w:eastAsia="pt-BR"/>
        </w:rPr>
      </w:pPr>
    </w:p>
    <w:p w:rsidR="00F618A2" w:rsidRPr="00F618A2" w:rsidRDefault="00F618A2" w:rsidP="00F618A2">
      <w:pPr>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O DIRETOR-GERAL DA AGÊNCIA NACIONAL DE ENERGIA ELÉTRICA -</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ANEEL, no uso de suas atribuições regimentais, de acordo com deliberação da Diretoria, tendo em vista o disposto na Lei nº 9.427, de 26 de dezembro de 1996, no art. 4º, inciso XX, Anexo I, do Decreto nº 2.335, de 6 de outubro de 1997, na Lei nº 9.478, de 6 de agosto de 1997, na Lei nº 10.848, de 15 de março de 2004, no Decreto nº 5.163, de 30 de julho de 2004, o que consta no Processo nº 48500.004924/2010-51 e considerando: </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as contribuições recebidas na Consulta Pública nº 15/2010, realizada por intercâmbio documental no período de 10 de setembro a 9 de novembro de 2010 e </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lastRenderedPageBreak/>
        <w:t>as contribuições recebidas na Audiência Pública nº 42/2011, realizadas no período de 11 de agosto a 14 de outubro de 2011, resolve:</w:t>
      </w:r>
    </w:p>
    <w:p w:rsidR="00F618A2" w:rsidRPr="00F618A2" w:rsidRDefault="00F618A2" w:rsidP="00F618A2">
      <w:pPr>
        <w:rPr>
          <w:rFonts w:ascii="Times New Roman" w:eastAsia="Times New Roman" w:hAnsi="Times New Roman" w:cs="Times New Roman"/>
          <w:color w:val="000000"/>
          <w:sz w:val="24"/>
          <w:szCs w:val="20"/>
          <w:lang w:eastAsia="pt-BR"/>
        </w:rPr>
      </w:pPr>
    </w:p>
    <w:p w:rsidR="00F618A2" w:rsidRPr="00F618A2" w:rsidRDefault="00F618A2" w:rsidP="00F618A2">
      <w:pPr>
        <w:jc w:val="cente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CAPÍTULO I</w:t>
      </w:r>
    </w:p>
    <w:p w:rsidR="00F618A2" w:rsidRPr="00F618A2" w:rsidRDefault="00F618A2" w:rsidP="00F618A2">
      <w:pPr>
        <w:jc w:val="cente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DAS DISPOSIÇÕES PRELIMINARES</w:t>
      </w:r>
    </w:p>
    <w:p w:rsidR="00F618A2" w:rsidRPr="00F618A2" w:rsidRDefault="00F618A2" w:rsidP="00F618A2">
      <w:pPr>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Art. 1º Estabelecer as condições gerais para o acesso de </w:t>
      </w:r>
      <w:proofErr w:type="spellStart"/>
      <w:r w:rsidRPr="00F618A2">
        <w:rPr>
          <w:rFonts w:ascii="Times New Roman" w:eastAsia="Times New Roman" w:hAnsi="Times New Roman" w:cs="Times New Roman"/>
          <w:color w:val="000000"/>
          <w:sz w:val="24"/>
          <w:szCs w:val="20"/>
          <w:lang w:eastAsia="pt-BR"/>
        </w:rPr>
        <w:t>microgeração</w:t>
      </w:r>
      <w:proofErr w:type="spellEnd"/>
      <w:r w:rsidRPr="00F618A2">
        <w:rPr>
          <w:rFonts w:ascii="Times New Roman" w:eastAsia="Times New Roman" w:hAnsi="Times New Roman" w:cs="Times New Roman"/>
          <w:color w:val="000000"/>
          <w:sz w:val="24"/>
          <w:szCs w:val="20"/>
          <w:lang w:eastAsia="pt-BR"/>
        </w:rPr>
        <w:t xml:space="preserve"> e </w:t>
      </w:r>
      <w:proofErr w:type="spellStart"/>
      <w:r w:rsidRPr="00F618A2">
        <w:rPr>
          <w:rFonts w:ascii="Times New Roman" w:eastAsia="Times New Roman" w:hAnsi="Times New Roman" w:cs="Times New Roman"/>
          <w:color w:val="000000"/>
          <w:sz w:val="24"/>
          <w:szCs w:val="20"/>
          <w:lang w:eastAsia="pt-BR"/>
        </w:rPr>
        <w:t>minigeração</w:t>
      </w:r>
      <w:proofErr w:type="spellEnd"/>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distribuídas aos sistemas de distribuição de energia elétrica e o sistema de compensação de energia elétrica.</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Art. 2º Para efeitos desta Resolução, ficam adotadas as seguintes definições:</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I - </w:t>
      </w:r>
      <w:proofErr w:type="spellStart"/>
      <w:r w:rsidRPr="00F618A2">
        <w:rPr>
          <w:rFonts w:ascii="Times New Roman" w:eastAsia="Times New Roman" w:hAnsi="Times New Roman" w:cs="Times New Roman"/>
          <w:color w:val="000000"/>
          <w:sz w:val="24"/>
          <w:szCs w:val="20"/>
          <w:lang w:eastAsia="pt-BR"/>
        </w:rPr>
        <w:t>microgeração</w:t>
      </w:r>
      <w:proofErr w:type="spellEnd"/>
      <w:r w:rsidRPr="00F618A2">
        <w:rPr>
          <w:rFonts w:ascii="Times New Roman" w:eastAsia="Times New Roman" w:hAnsi="Times New Roman" w:cs="Times New Roman"/>
          <w:color w:val="000000"/>
          <w:sz w:val="24"/>
          <w:szCs w:val="20"/>
          <w:lang w:eastAsia="pt-BR"/>
        </w:rPr>
        <w:t xml:space="preserve"> distribuída: central geradora de energia elétrica, com potência instalada menor ou igual a 100 kW e que utilize fontes com base em energia hidráulica, solar, eólica, biomassa ou cogeração qualificada, conforme regulamentação da ANEEL, conectada na rede de distribuição por meio de instalações de unidades consumidoras;</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II - </w:t>
      </w:r>
      <w:proofErr w:type="spellStart"/>
      <w:r w:rsidRPr="00F618A2">
        <w:rPr>
          <w:rFonts w:ascii="Times New Roman" w:eastAsia="Times New Roman" w:hAnsi="Times New Roman" w:cs="Times New Roman"/>
          <w:color w:val="000000"/>
          <w:sz w:val="24"/>
          <w:szCs w:val="20"/>
          <w:lang w:eastAsia="pt-BR"/>
        </w:rPr>
        <w:t>minigeração</w:t>
      </w:r>
      <w:proofErr w:type="spellEnd"/>
      <w:r w:rsidRPr="00F618A2">
        <w:rPr>
          <w:rFonts w:ascii="Times New Roman" w:eastAsia="Times New Roman" w:hAnsi="Times New Roman" w:cs="Times New Roman"/>
          <w:color w:val="000000"/>
          <w:sz w:val="24"/>
          <w:szCs w:val="20"/>
          <w:lang w:eastAsia="pt-BR"/>
        </w:rPr>
        <w:t xml:space="preserve"> distribuída: central geradora de energia elétrica, com potência instalada superior a 100 kW e menor ou igual a 1 MW para fontes com base em energia hidráulica, solar, eólica, biomassa ou cogeração qualificada, conforme regulamentação da ANEEL, conectada na rede de distribuição por meio de instalações de unidades consumidoras;</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III - sistema de compensação de energia elétrica: sistema no qual a energia ativa gerada por unidade consumidora com </w:t>
      </w:r>
      <w:proofErr w:type="spellStart"/>
      <w:r w:rsidRPr="00F618A2">
        <w:rPr>
          <w:rFonts w:ascii="Times New Roman" w:eastAsia="Times New Roman" w:hAnsi="Times New Roman" w:cs="Times New Roman"/>
          <w:color w:val="000000"/>
          <w:sz w:val="24"/>
          <w:szCs w:val="20"/>
          <w:lang w:eastAsia="pt-BR"/>
        </w:rPr>
        <w:t>microgeração</w:t>
      </w:r>
      <w:proofErr w:type="spellEnd"/>
      <w:r w:rsidRPr="00F618A2">
        <w:rPr>
          <w:rFonts w:ascii="Times New Roman" w:eastAsia="Times New Roman" w:hAnsi="Times New Roman" w:cs="Times New Roman"/>
          <w:color w:val="000000"/>
          <w:sz w:val="24"/>
          <w:szCs w:val="20"/>
          <w:lang w:eastAsia="pt-BR"/>
        </w:rPr>
        <w:t xml:space="preserve"> distribuída ou </w:t>
      </w:r>
      <w:proofErr w:type="spellStart"/>
      <w:r w:rsidRPr="00F618A2">
        <w:rPr>
          <w:rFonts w:ascii="Times New Roman" w:eastAsia="Times New Roman" w:hAnsi="Times New Roman" w:cs="Times New Roman"/>
          <w:color w:val="000000"/>
          <w:sz w:val="24"/>
          <w:szCs w:val="20"/>
          <w:lang w:eastAsia="pt-BR"/>
        </w:rPr>
        <w:t>minigeração</w:t>
      </w:r>
      <w:proofErr w:type="spellEnd"/>
      <w:r w:rsidRPr="00F618A2">
        <w:rPr>
          <w:rFonts w:ascii="Times New Roman" w:eastAsia="Times New Roman" w:hAnsi="Times New Roman" w:cs="Times New Roman"/>
          <w:color w:val="000000"/>
          <w:sz w:val="24"/>
          <w:szCs w:val="20"/>
          <w:lang w:eastAsia="pt-BR"/>
        </w:rPr>
        <w:t xml:space="preserve"> distribuída compense o consumo de energia elétrica ativa.</w:t>
      </w:r>
    </w:p>
    <w:p w:rsidR="00F618A2" w:rsidRPr="00F618A2" w:rsidRDefault="00F618A2" w:rsidP="00F618A2">
      <w:pPr>
        <w:ind w:firstLine="1134"/>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color w:val="000000"/>
          <w:sz w:val="24"/>
          <w:szCs w:val="20"/>
          <w:lang w:eastAsia="pt-BR"/>
        </w:rPr>
        <w:t xml:space="preserve">III - sistema de compensação de energia elétrica: sistema no qual a energia ativa injetada por unidade consumidora com </w:t>
      </w:r>
      <w:proofErr w:type="spellStart"/>
      <w:r w:rsidRPr="00F618A2">
        <w:rPr>
          <w:rFonts w:ascii="Times New Roman" w:eastAsia="Times New Roman" w:hAnsi="Times New Roman" w:cs="Times New Roman"/>
          <w:color w:val="000000"/>
          <w:sz w:val="24"/>
          <w:szCs w:val="20"/>
          <w:lang w:eastAsia="pt-BR"/>
        </w:rPr>
        <w:t>microgeração</w:t>
      </w:r>
      <w:proofErr w:type="spellEnd"/>
      <w:r w:rsidRPr="00F618A2">
        <w:rPr>
          <w:rFonts w:ascii="Times New Roman" w:eastAsia="Times New Roman" w:hAnsi="Times New Roman" w:cs="Times New Roman"/>
          <w:color w:val="000000"/>
          <w:sz w:val="24"/>
          <w:szCs w:val="20"/>
          <w:lang w:eastAsia="pt-BR"/>
        </w:rPr>
        <w:t xml:space="preserve"> distribuída ou </w:t>
      </w:r>
      <w:proofErr w:type="spellStart"/>
      <w:r w:rsidRPr="00F618A2">
        <w:rPr>
          <w:rFonts w:ascii="Times New Roman" w:eastAsia="Times New Roman" w:hAnsi="Times New Roman" w:cs="Times New Roman"/>
          <w:color w:val="000000"/>
          <w:sz w:val="24"/>
          <w:szCs w:val="20"/>
          <w:lang w:eastAsia="pt-BR"/>
        </w:rPr>
        <w:t>minigeração</w:t>
      </w:r>
      <w:proofErr w:type="spellEnd"/>
      <w:r w:rsidRPr="00F618A2">
        <w:rPr>
          <w:rFonts w:ascii="Times New Roman" w:eastAsia="Times New Roman" w:hAnsi="Times New Roman" w:cs="Times New Roman"/>
          <w:color w:val="000000"/>
          <w:sz w:val="24"/>
          <w:szCs w:val="20"/>
          <w:lang w:eastAsia="pt-BR"/>
        </w:rPr>
        <w:t xml:space="preserve"> distribuída é cedida, por meio de empréstimo gratuito, à distribuidora local e posteriormente compensada com o consumo de energia elétrica ativa dessa mesma unidade consumidora ou de outra unidade consumidora de mesma titularidade da unidade consumidora onde os créditos foram gerados, desde que possua o mesmo Cadastro de Pessoa Física (CPF) ou Cadastro de Pessoa Jurídica (CNPJ) junto ao Ministério da Fazenda. (Redação dada pela REN ANEEL 517, de 11.12.2012.)</w:t>
      </w:r>
    </w:p>
    <w:p w:rsidR="00F618A2" w:rsidRPr="00F618A2" w:rsidRDefault="00F618A2" w:rsidP="00F618A2">
      <w:pP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szCs w:val="20"/>
          <w:lang w:eastAsia="pt-BR"/>
        </w:rPr>
        <w:t>.....................................................................................................................................................................................</w:t>
      </w:r>
      <w:r w:rsidRPr="00F618A2">
        <w:rPr>
          <w:rFonts w:ascii="Times New Roman" w:eastAsia="Times New Roman" w:hAnsi="Times New Roman" w:cs="Times New Roman"/>
          <w:color w:val="000000"/>
          <w:sz w:val="24"/>
          <w:szCs w:val="20"/>
          <w:lang w:eastAsia="pt-BR"/>
        </w:rPr>
        <w:t xml:space="preserve"> </w:t>
      </w:r>
    </w:p>
    <w:p w:rsidR="00F618A2" w:rsidRPr="00F618A2" w:rsidRDefault="00F618A2" w:rsidP="00F618A2">
      <w:pPr>
        <w:jc w:val="center"/>
        <w:rPr>
          <w:rFonts w:ascii="Times New Roman" w:eastAsia="Times New Roman" w:hAnsi="Times New Roman" w:cs="Times New Roman"/>
          <w:color w:val="000000"/>
          <w:sz w:val="24"/>
          <w:szCs w:val="20"/>
          <w:lang w:eastAsia="pt-BR"/>
        </w:rPr>
      </w:pPr>
      <w:r w:rsidRPr="00F618A2">
        <w:rPr>
          <w:rFonts w:ascii="Times New Roman" w:eastAsia="Times New Roman" w:hAnsi="Times New Roman" w:cs="Times New Roman"/>
          <w:szCs w:val="20"/>
          <w:lang w:eastAsia="pt-BR"/>
        </w:rPr>
        <w:t>.....................................................................................................................................................................................</w:t>
      </w:r>
      <w:r w:rsidRPr="00F618A2">
        <w:rPr>
          <w:rFonts w:ascii="Times New Roman" w:eastAsia="Times New Roman" w:hAnsi="Times New Roman" w:cs="Times New Roman"/>
          <w:color w:val="000000"/>
          <w:sz w:val="24"/>
          <w:szCs w:val="20"/>
          <w:lang w:eastAsia="pt-BR"/>
        </w:rPr>
        <w:t xml:space="preserve"> </w:t>
      </w:r>
    </w:p>
    <w:p w:rsidR="00F618A2" w:rsidRPr="00F618A2" w:rsidRDefault="00F618A2" w:rsidP="00F618A2">
      <w:pPr>
        <w:jc w:val="center"/>
        <w:rPr>
          <w:rFonts w:ascii="Times New Roman" w:eastAsia="Times New Roman" w:hAnsi="Times New Roman" w:cs="Times New Roman"/>
          <w:color w:val="000000"/>
          <w:sz w:val="24"/>
          <w:szCs w:val="20"/>
          <w:lang w:eastAsia="pt-BR"/>
        </w:rPr>
      </w:pPr>
    </w:p>
    <w:p w:rsidR="00F618A2" w:rsidRPr="00F618A2" w:rsidRDefault="00F618A2" w:rsidP="00F618A2">
      <w:pPr>
        <w:jc w:val="left"/>
        <w:rPr>
          <w:rFonts w:ascii="Times New Roman" w:eastAsia="Times New Roman" w:hAnsi="Times New Roman" w:cs="Times New Roman"/>
          <w:szCs w:val="20"/>
          <w:lang w:eastAsia="pt-BR"/>
        </w:rPr>
      </w:pPr>
    </w:p>
    <w:p w:rsidR="00F618A2" w:rsidRDefault="00F618A2" w:rsidP="00F618A2">
      <w:pPr>
        <w:jc w:val="center"/>
        <w:rPr>
          <w:b/>
          <w:sz w:val="24"/>
        </w:rPr>
      </w:pPr>
      <w:bookmarkStart w:id="13" w:name="z1049319_FIMDOCUMENTO"/>
      <w:bookmarkEnd w:id="1"/>
      <w:bookmarkEnd w:id="11"/>
    </w:p>
    <w:p w:rsidR="00F618A2" w:rsidRPr="00F618A2" w:rsidRDefault="00F618A2" w:rsidP="00F618A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3"/>
    </w:p>
    <w:sectPr w:rsidR="00F618A2" w:rsidRPr="00F618A2" w:rsidSect="00F618A2">
      <w:headerReference w:type="even" r:id="rId33"/>
      <w:headerReference w:type="default" r:id="rId34"/>
      <w:footerReference w:type="even" r:id="rId35"/>
      <w:footerReference w:type="default" r:id="rId36"/>
      <w:footerReference w:type="first" r:id="rId37"/>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DF1" w:rsidRDefault="000E6DF1" w:rsidP="00F618A2">
      <w:r>
        <w:separator/>
      </w:r>
    </w:p>
  </w:endnote>
  <w:endnote w:type="continuationSeparator" w:id="0">
    <w:p w:rsidR="000E6DF1" w:rsidRDefault="000E6DF1" w:rsidP="00F61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A2" w:rsidRDefault="00F618A2" w:rsidP="00F618A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F618A2" w:rsidRDefault="00F618A2" w:rsidP="00F618A2">
    <w:pPr>
      <w:pStyle w:val="Rodap"/>
      <w:jc w:val="center"/>
      <w:rPr>
        <w:rFonts w:ascii="Courier New" w:hAnsi="Courier New" w:cs="Courier New"/>
      </w:rPr>
    </w:pPr>
    <w:r>
      <w:rPr>
        <w:rFonts w:ascii="Courier New" w:hAnsi="Courier New" w:cs="Courier New"/>
      </w:rPr>
      <w:t>CONFERE COM O ORIGINAL AUTENTICADO</w:t>
    </w:r>
  </w:p>
  <w:p w:rsidR="00F618A2" w:rsidRPr="00F618A2" w:rsidRDefault="00F618A2" w:rsidP="00F618A2">
    <w:pPr>
      <w:pStyle w:val="Rodap"/>
      <w:jc w:val="center"/>
    </w:pPr>
    <w:r>
      <w:t>PL 833/2015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A2" w:rsidRDefault="00F618A2" w:rsidP="00F618A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F618A2" w:rsidRDefault="00F618A2" w:rsidP="00F618A2">
    <w:pPr>
      <w:pStyle w:val="Rodap"/>
      <w:jc w:val="center"/>
      <w:rPr>
        <w:rFonts w:ascii="Courier New" w:hAnsi="Courier New" w:cs="Courier New"/>
      </w:rPr>
    </w:pPr>
    <w:r>
      <w:rPr>
        <w:rFonts w:ascii="Courier New" w:hAnsi="Courier New" w:cs="Courier New"/>
      </w:rPr>
      <w:t>CONFERE COM O ORIGINAL AUTENTICADO</w:t>
    </w:r>
  </w:p>
  <w:p w:rsidR="00F618A2" w:rsidRPr="00F618A2" w:rsidRDefault="00F618A2" w:rsidP="00F618A2">
    <w:pPr>
      <w:pStyle w:val="Rodap"/>
      <w:jc w:val="center"/>
    </w:pPr>
    <w:r>
      <w:t>PL 833/2015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A2" w:rsidRDefault="00F618A2" w:rsidP="00F618A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F618A2" w:rsidRPr="00F618A2" w:rsidRDefault="00F618A2" w:rsidP="00F618A2">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DF1" w:rsidRDefault="000E6DF1" w:rsidP="00F618A2">
      <w:r>
        <w:separator/>
      </w:r>
    </w:p>
  </w:footnote>
  <w:footnote w:type="continuationSeparator" w:id="0">
    <w:p w:rsidR="000E6DF1" w:rsidRDefault="000E6DF1" w:rsidP="00F618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A2" w:rsidRPr="00F618A2" w:rsidRDefault="00F618A2" w:rsidP="00F618A2">
    <w:pPr>
      <w:pStyle w:val="Cabealho"/>
      <w:jc w:val="left"/>
    </w:pPr>
    <w:r>
      <w:fldChar w:fldCharType="begin"/>
    </w:r>
    <w:r>
      <w:instrText xml:space="preserve"> PAGE  \* Arabic  \* MERGEFORMAT </w:instrText>
    </w:r>
    <w:r>
      <w:fldChar w:fldCharType="separate"/>
    </w:r>
    <w:r w:rsidR="00F540D1">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A2" w:rsidRPr="00F618A2" w:rsidRDefault="00F618A2" w:rsidP="00F618A2">
    <w:pPr>
      <w:pStyle w:val="Cabealho"/>
      <w:jc w:val="right"/>
    </w:pPr>
    <w:r>
      <w:fldChar w:fldCharType="begin"/>
    </w:r>
    <w:r>
      <w:instrText xml:space="preserve"> PAGE  \* Arabic  \* MERGEFORMAT </w:instrText>
    </w:r>
    <w:r>
      <w:fldChar w:fldCharType="separate"/>
    </w:r>
    <w:r w:rsidR="00F540D1">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8A2"/>
    <w:rsid w:val="00022163"/>
    <w:rsid w:val="000E6DF1"/>
    <w:rsid w:val="003414D3"/>
    <w:rsid w:val="00B666BC"/>
    <w:rsid w:val="00F540D1"/>
    <w:rsid w:val="00F618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618A2"/>
    <w:rPr>
      <w:rFonts w:ascii="Tahoma" w:hAnsi="Tahoma" w:cs="Tahoma"/>
      <w:sz w:val="16"/>
      <w:szCs w:val="16"/>
    </w:rPr>
  </w:style>
  <w:style w:type="character" w:customStyle="1" w:styleId="TextodebaloChar">
    <w:name w:val="Texto de balão Char"/>
    <w:basedOn w:val="Fontepargpadro"/>
    <w:link w:val="Textodebalo"/>
    <w:uiPriority w:val="99"/>
    <w:semiHidden/>
    <w:rsid w:val="00F618A2"/>
    <w:rPr>
      <w:rFonts w:ascii="Tahoma" w:hAnsi="Tahoma" w:cs="Tahoma"/>
      <w:sz w:val="16"/>
      <w:szCs w:val="16"/>
    </w:rPr>
  </w:style>
  <w:style w:type="paragraph" w:styleId="Cabealho">
    <w:name w:val="header"/>
    <w:basedOn w:val="Normal"/>
    <w:link w:val="CabealhoChar"/>
    <w:uiPriority w:val="99"/>
    <w:unhideWhenUsed/>
    <w:rsid w:val="00F618A2"/>
    <w:pPr>
      <w:tabs>
        <w:tab w:val="center" w:pos="4252"/>
        <w:tab w:val="right" w:pos="8504"/>
      </w:tabs>
    </w:pPr>
  </w:style>
  <w:style w:type="character" w:customStyle="1" w:styleId="CabealhoChar">
    <w:name w:val="Cabeçalho Char"/>
    <w:basedOn w:val="Fontepargpadro"/>
    <w:link w:val="Cabealho"/>
    <w:uiPriority w:val="99"/>
    <w:rsid w:val="00F618A2"/>
    <w:rPr>
      <w:rFonts w:ascii="Arial" w:hAnsi="Arial" w:cs="Arial"/>
      <w:sz w:val="20"/>
    </w:rPr>
  </w:style>
  <w:style w:type="paragraph" w:styleId="Rodap">
    <w:name w:val="footer"/>
    <w:basedOn w:val="Normal"/>
    <w:link w:val="RodapChar"/>
    <w:uiPriority w:val="99"/>
    <w:unhideWhenUsed/>
    <w:rsid w:val="00F618A2"/>
    <w:pPr>
      <w:tabs>
        <w:tab w:val="center" w:pos="4252"/>
        <w:tab w:val="right" w:pos="8504"/>
      </w:tabs>
    </w:pPr>
  </w:style>
  <w:style w:type="character" w:customStyle="1" w:styleId="RodapChar">
    <w:name w:val="Rodapé Char"/>
    <w:basedOn w:val="Fontepargpadro"/>
    <w:link w:val="Rodap"/>
    <w:uiPriority w:val="99"/>
    <w:rsid w:val="00F618A2"/>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618A2"/>
    <w:rPr>
      <w:rFonts w:ascii="Tahoma" w:hAnsi="Tahoma" w:cs="Tahoma"/>
      <w:sz w:val="16"/>
      <w:szCs w:val="16"/>
    </w:rPr>
  </w:style>
  <w:style w:type="character" w:customStyle="1" w:styleId="TextodebaloChar">
    <w:name w:val="Texto de balão Char"/>
    <w:basedOn w:val="Fontepargpadro"/>
    <w:link w:val="Textodebalo"/>
    <w:uiPriority w:val="99"/>
    <w:semiHidden/>
    <w:rsid w:val="00F618A2"/>
    <w:rPr>
      <w:rFonts w:ascii="Tahoma" w:hAnsi="Tahoma" w:cs="Tahoma"/>
      <w:sz w:val="16"/>
      <w:szCs w:val="16"/>
    </w:rPr>
  </w:style>
  <w:style w:type="paragraph" w:styleId="Cabealho">
    <w:name w:val="header"/>
    <w:basedOn w:val="Normal"/>
    <w:link w:val="CabealhoChar"/>
    <w:uiPriority w:val="99"/>
    <w:unhideWhenUsed/>
    <w:rsid w:val="00F618A2"/>
    <w:pPr>
      <w:tabs>
        <w:tab w:val="center" w:pos="4252"/>
        <w:tab w:val="right" w:pos="8504"/>
      </w:tabs>
    </w:pPr>
  </w:style>
  <w:style w:type="character" w:customStyle="1" w:styleId="CabealhoChar">
    <w:name w:val="Cabeçalho Char"/>
    <w:basedOn w:val="Fontepargpadro"/>
    <w:link w:val="Cabealho"/>
    <w:uiPriority w:val="99"/>
    <w:rsid w:val="00F618A2"/>
    <w:rPr>
      <w:rFonts w:ascii="Arial" w:hAnsi="Arial" w:cs="Arial"/>
      <w:sz w:val="20"/>
    </w:rPr>
  </w:style>
  <w:style w:type="paragraph" w:styleId="Rodap">
    <w:name w:val="footer"/>
    <w:basedOn w:val="Normal"/>
    <w:link w:val="RodapChar"/>
    <w:uiPriority w:val="99"/>
    <w:unhideWhenUsed/>
    <w:rsid w:val="00F618A2"/>
    <w:pPr>
      <w:tabs>
        <w:tab w:val="center" w:pos="4252"/>
        <w:tab w:val="right" w:pos="8504"/>
      </w:tabs>
    </w:pPr>
  </w:style>
  <w:style w:type="character" w:customStyle="1" w:styleId="RodapChar">
    <w:name w:val="Rodapé Char"/>
    <w:basedOn w:val="Fontepargpadro"/>
    <w:link w:val="Rodap"/>
    <w:uiPriority w:val="99"/>
    <w:rsid w:val="00F618A2"/>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90951&amp;seqTexto=1&amp;PalavrasDestaque=" TargetMode="External"/><Relationship Id="rId13" Type="http://schemas.openxmlformats.org/officeDocument/2006/relationships/hyperlink" Target="http://www2.camara.gov.br/internet/legislacao/legin.html/textos/visualizarTexto.html?ideNorma=532600&amp;seqTexto=14869&amp;PalavrasDestaque=" TargetMode="External"/><Relationship Id="rId18" Type="http://schemas.openxmlformats.org/officeDocument/2006/relationships/hyperlink" Target="http://www2.camara.gov.br/internet/legislacao/legin.html/textos/visualizarTexto.html?ideNorma=367783&amp;seqTexto=1&amp;PalavrasDestaque=" TargetMode="External"/><Relationship Id="rId26" Type="http://schemas.openxmlformats.org/officeDocument/2006/relationships/hyperlink" Target="http://www2.camara.gov.br/internet/legislacao/legin.html/textos/visualizarTexto.html?ideNorma=555605&amp;seqTexto=74916&amp;PalavrasDestaqu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365396&amp;seqTexto=1&amp;PalavrasDestaque=" TargetMode="External"/><Relationship Id="rId34"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390727&amp;seqTexto=1&amp;PalavrasDestaque=" TargetMode="External"/><Relationship Id="rId17" Type="http://schemas.openxmlformats.org/officeDocument/2006/relationships/hyperlink" Target="http://www2.camara.gov.br/internet/legislacao/legin.html/textos/visualizarTexto.html?ideNorma=365396&amp;seqTexto=1&amp;PalavrasDestaque=" TargetMode="External"/><Relationship Id="rId25" Type="http://schemas.openxmlformats.org/officeDocument/2006/relationships/hyperlink" Target="http://www2.camara.gov.br/internet/legislacao/legin.html/textos/visualizarTexto.html?ideNorma=365396&amp;seqTexto=1&amp;PalavrasDestaque=" TargetMode="External"/><Relationship Id="rId33" Type="http://schemas.openxmlformats.org/officeDocument/2006/relationships/header" Target="header1.xm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365396&amp;seqTexto=1&amp;PalavrasDestaque=" TargetMode="External"/><Relationship Id="rId20" Type="http://schemas.openxmlformats.org/officeDocument/2006/relationships/hyperlink" Target="http://www2.camara.gov.br/internet/legislacao/legin.html/textos/visualizarTexto.html?ideNorma=555605&amp;seqTexto=74916&amp;PalavrasDestaque=" TargetMode="External"/><Relationship Id="rId29" Type="http://schemas.openxmlformats.org/officeDocument/2006/relationships/hyperlink" Target="http://www2.camara.gov.br/internet/legislacao/legin.html/textos/visualizarTexto.html?ideNorma=365396&amp;seqTexto=1&amp;PalavrasDestaque="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65396&amp;seqTexto=1&amp;PalavrasDestaque=" TargetMode="External"/><Relationship Id="rId24" Type="http://schemas.openxmlformats.org/officeDocument/2006/relationships/hyperlink" Target="http://www2.camara.gov.br/internet/legislacao/legin.html/textos/visualizarTexto.html?ideNorma=365396&amp;seqTexto=1&amp;PalavrasDestaque=" TargetMode="External"/><Relationship Id="rId32" Type="http://schemas.openxmlformats.org/officeDocument/2006/relationships/hyperlink" Target="http://www2.camara.gov.br/internet/legislacao/legin.html/textos/visualizarTexto.html?ideNorma=591734&amp;seqTexto=116778&amp;PalavrasDestaque="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592117&amp;seqTexto=117195&amp;PalavrasDestaque=" TargetMode="External"/><Relationship Id="rId23" Type="http://schemas.openxmlformats.org/officeDocument/2006/relationships/hyperlink" Target="http://www2.camara.gov.br/internet/legislacao/legin.html/textos/visualizarTexto.html?ideNorma=365396&amp;seqTexto=1&amp;PalavrasDestaque=" TargetMode="External"/><Relationship Id="rId28" Type="http://schemas.openxmlformats.org/officeDocument/2006/relationships/hyperlink" Target="http://www2.camara.gov.br/internet/legislacao/legin.html/textos/visualizarTexto.html?ideNorma=555605&amp;seqTexto=74916&amp;PalavrasDestaque=" TargetMode="External"/><Relationship Id="rId36" Type="http://schemas.openxmlformats.org/officeDocument/2006/relationships/footer" Target="footer2.xml"/><Relationship Id="rId10" Type="http://schemas.openxmlformats.org/officeDocument/2006/relationships/hyperlink" Target="http://www2.camara.gov.br/internet/legislacao/legin.html/textos/visualizarTexto.html?ideNorma=376551&amp;seqTexto=1&amp;PalavrasDestaque=" TargetMode="External"/><Relationship Id="rId19" Type="http://schemas.openxmlformats.org/officeDocument/2006/relationships/hyperlink" Target="http://www2.camara.gov.br/internet/legislacao/legin.html/textos/visualizarTexto.html?ideNorma=365396&amp;seqTexto=1&amp;PalavrasDestaque=" TargetMode="External"/><Relationship Id="rId31" Type="http://schemas.openxmlformats.org/officeDocument/2006/relationships/hyperlink" Target="http://www2.camara.gov.br/internet/legislacao/legin.html/textos/visualizarTexto.html?ideNorma=390951&amp;seqTexto=1&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90727&amp;seqTexto=1&amp;PalavrasDestaque=" TargetMode="External"/><Relationship Id="rId14" Type="http://schemas.openxmlformats.org/officeDocument/2006/relationships/hyperlink" Target="http://www2.camara.gov.br/internet/legislacao/legin.html/textos/visualizarTexto.html?ideNorma=555605&amp;seqTexto=74916&amp;PalavrasDestaque=" TargetMode="External"/><Relationship Id="rId22" Type="http://schemas.openxmlformats.org/officeDocument/2006/relationships/hyperlink" Target="http://www2.camara.gov.br/internet/legislacao/legin.html/textos/visualizarTexto.html?ideNorma=365396&amp;seqTexto=1&amp;PalavrasDestaque=" TargetMode="External"/><Relationship Id="rId27" Type="http://schemas.openxmlformats.org/officeDocument/2006/relationships/hyperlink" Target="http://www2.camara.gov.br/internet/legislacao/legin.html/textos/visualizarTexto.html?ideNorma=365396&amp;seqTexto=1&amp;PalavrasDestaque=" TargetMode="External"/><Relationship Id="rId30" Type="http://schemas.openxmlformats.org/officeDocument/2006/relationships/hyperlink" Target="http://www2.camara.gov.br/internet/legislacao/legin.html/textos/visualizarTexto.html?ideNorma=555605&amp;seqTexto=74916&amp;PalavrasDestaque=" TargetMode="External"/><Relationship Id="rId35"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4334</Words>
  <Characters>23837</Characters>
  <Application>Microsoft Office Word</Application>
  <DocSecurity>0</DocSecurity>
  <Lines>449</Lines>
  <Paragraphs>164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cp:lastPrinted>2015-03-31T14:58:00Z</cp:lastPrinted>
  <dcterms:created xsi:type="dcterms:W3CDTF">2015-04-06T19:22:00Z</dcterms:created>
  <dcterms:modified xsi:type="dcterms:W3CDTF">2015-04-06T20:33:00Z</dcterms:modified>
</cp:coreProperties>
</file>