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4C9" w:rsidRDefault="004335D5" w:rsidP="006A7C40">
      <w:pPr>
        <w:jc w:val="center"/>
      </w:pPr>
      <w:bookmarkStart w:id="0" w:name="z996642_BRASAO"/>
      <w:bookmarkStart w:id="1" w:name="z99664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4335D5" w:rsidRPr="004335D5" w:rsidRDefault="004335D5">
                            <w:pPr>
                              <w:rPr>
                                <w:rFonts w:ascii="Times New Roman" w:hAnsi="Times New Roman" w:cs="Times New Roman"/>
                                <w:sz w:val="34"/>
                              </w:rPr>
                            </w:pPr>
                            <w:r w:rsidRPr="004335D5">
                              <w:rPr>
                                <w:rFonts w:ascii="3 of 9 Barcode" w:hAnsi="3 of 9 Barcode"/>
                                <w:sz w:val="34"/>
                              </w:rPr>
                              <w:t>*C0051742A*</w:t>
                            </w:r>
                            <w:bookmarkStart w:id="2" w:name="_GoBack"/>
                          </w:p>
                          <w:bookmarkEnd w:id="2"/>
                          <w:p w:rsidR="004335D5" w:rsidRPr="004335D5" w:rsidRDefault="004335D5">
                            <w:pPr>
                              <w:rPr>
                                <w:rFonts w:ascii="Times New Roman" w:hAnsi="Times New Roman" w:cs="Times New Roman"/>
                              </w:rPr>
                            </w:pPr>
                            <w:r>
                              <w:rPr>
                                <w:rFonts w:ascii="Times New Roman" w:hAnsi="Times New Roman" w:cs="Times New Roman"/>
                              </w:rPr>
                              <w:t>C0051742A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4335D5" w:rsidRPr="004335D5" w:rsidRDefault="004335D5">
                      <w:pPr>
                        <w:rPr>
                          <w:rFonts w:ascii="Times New Roman" w:hAnsi="Times New Roman" w:cs="Times New Roman"/>
                          <w:sz w:val="34"/>
                        </w:rPr>
                      </w:pPr>
                      <w:r w:rsidRPr="004335D5">
                        <w:rPr>
                          <w:rFonts w:ascii="3 of 9 Barcode" w:hAnsi="3 of 9 Barcode"/>
                          <w:sz w:val="34"/>
                        </w:rPr>
                        <w:t>*C0051742A*</w:t>
                      </w:r>
                      <w:bookmarkStart w:id="3" w:name="_GoBack"/>
                    </w:p>
                    <w:bookmarkEnd w:id="3"/>
                    <w:p w:rsidR="004335D5" w:rsidRPr="004335D5" w:rsidRDefault="004335D5">
                      <w:pPr>
                        <w:rPr>
                          <w:rFonts w:ascii="Times New Roman" w:hAnsi="Times New Roman" w:cs="Times New Roman"/>
                        </w:rPr>
                      </w:pPr>
                      <w:r>
                        <w:rPr>
                          <w:rFonts w:ascii="Times New Roman" w:hAnsi="Times New Roman" w:cs="Times New Roman"/>
                        </w:rPr>
                        <w:t>C0051742A</w:t>
                      </w:r>
                    </w:p>
                  </w:txbxContent>
                </v:textbox>
                <w10:wrap anchorx="page" anchory="page"/>
              </v:shape>
            </w:pict>
          </mc:Fallback>
        </mc:AlternateContent>
      </w:r>
      <w:r w:rsidR="006A7C40">
        <w:rPr>
          <w:noProof/>
          <w:lang w:eastAsia="pt-BR"/>
        </w:rPr>
        <w:drawing>
          <wp:inline distT="0" distB="0" distL="0" distR="0" wp14:anchorId="372DE19A" wp14:editId="763495BA">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6A7C40" w:rsidRDefault="006A7C40" w:rsidP="006A7C40">
      <w:pPr>
        <w:jc w:val="center"/>
        <w:rPr>
          <w:b/>
          <w:sz w:val="24"/>
        </w:rPr>
      </w:pPr>
      <w:r>
        <w:rPr>
          <w:b/>
          <w:sz w:val="24"/>
        </w:rPr>
        <w:t>CÂMARA DOS DEPUTADOS</w:t>
      </w:r>
    </w:p>
    <w:bookmarkEnd w:id="0"/>
    <w:p w:rsidR="006A7C40" w:rsidRDefault="006A7C40" w:rsidP="006A7C40">
      <w:pPr>
        <w:rPr>
          <w:sz w:val="24"/>
        </w:rPr>
      </w:pPr>
    </w:p>
    <w:p w:rsidR="006A7C40" w:rsidRDefault="006A7C40" w:rsidP="006A7C40">
      <w:pPr>
        <w:keepNext/>
        <w:keepLines/>
        <w:jc w:val="center"/>
        <w:rPr>
          <w:b/>
          <w:sz w:val="44"/>
        </w:rPr>
      </w:pPr>
      <w:bookmarkStart w:id="4" w:name="z996642_TITULO"/>
      <w:r>
        <w:rPr>
          <w:b/>
          <w:sz w:val="44"/>
        </w:rPr>
        <w:t>PROJETO DE LEI N.º 679, DE 2015</w:t>
      </w:r>
      <w:bookmarkEnd w:id="4"/>
    </w:p>
    <w:p w:rsidR="006A7C40" w:rsidRDefault="006A7C40" w:rsidP="006A7C40">
      <w:pPr>
        <w:keepLines/>
        <w:jc w:val="center"/>
        <w:rPr>
          <w:b/>
          <w:sz w:val="28"/>
        </w:rPr>
      </w:pPr>
      <w:bookmarkStart w:id="5" w:name="z996642_AUTOR"/>
      <w:r>
        <w:rPr>
          <w:b/>
          <w:sz w:val="28"/>
        </w:rPr>
        <w:t>(Do Sr. Manoel Junior)</w:t>
      </w:r>
      <w:bookmarkEnd w:id="5"/>
    </w:p>
    <w:p w:rsidR="006A7C40" w:rsidRDefault="006A7C40" w:rsidP="006A7C40">
      <w:pPr>
        <w:keepLines/>
        <w:jc w:val="center"/>
        <w:rPr>
          <w:b/>
          <w:sz w:val="28"/>
        </w:rPr>
      </w:pPr>
    </w:p>
    <w:p w:rsidR="006A7C40" w:rsidRDefault="006A7C40" w:rsidP="006A7C40">
      <w:pPr>
        <w:rPr>
          <w:sz w:val="28"/>
        </w:rPr>
      </w:pPr>
      <w:bookmarkStart w:id="6" w:name="z996642_EMENTA"/>
      <w:r>
        <w:rPr>
          <w:sz w:val="28"/>
        </w:rPr>
        <w:t>Altera os arts. 54 e 55 da Lei nº 12.305, de 2 de agosto de 2010, e dá outras providencias.</w:t>
      </w:r>
      <w:bookmarkEnd w:id="6"/>
    </w:p>
    <w:p w:rsidR="006A7C40" w:rsidRDefault="006A7C40" w:rsidP="006A7C40">
      <w:pPr>
        <w:rPr>
          <w:sz w:val="28"/>
        </w:rPr>
      </w:pPr>
    </w:p>
    <w:p w:rsidR="006A7C40" w:rsidRDefault="006A7C40" w:rsidP="006A7C40">
      <w:pPr>
        <w:pBdr>
          <w:top w:val="single" w:sz="4" w:space="1" w:color="auto"/>
          <w:left w:val="single" w:sz="4" w:space="4" w:color="auto"/>
          <w:bottom w:val="single" w:sz="4" w:space="1" w:color="auto"/>
          <w:right w:val="single" w:sz="4" w:space="4" w:color="auto"/>
        </w:pBdr>
        <w:rPr>
          <w:b/>
          <w:sz w:val="28"/>
        </w:rPr>
      </w:pPr>
      <w:bookmarkStart w:id="7" w:name="z996642_DESPACHO"/>
    </w:p>
    <w:p w:rsidR="006A7C40" w:rsidRDefault="006A7C40" w:rsidP="006A7C40">
      <w:pPr>
        <w:pBdr>
          <w:top w:val="single" w:sz="4" w:space="1" w:color="auto"/>
          <w:left w:val="single" w:sz="4" w:space="4" w:color="auto"/>
          <w:bottom w:val="single" w:sz="4" w:space="1" w:color="auto"/>
          <w:right w:val="single" w:sz="4" w:space="4" w:color="auto"/>
        </w:pBdr>
        <w:rPr>
          <w:b/>
          <w:sz w:val="28"/>
        </w:rPr>
      </w:pPr>
      <w:r>
        <w:rPr>
          <w:b/>
          <w:sz w:val="28"/>
        </w:rPr>
        <w:t>DESPACHO:</w:t>
      </w:r>
    </w:p>
    <w:p w:rsidR="006A7C40" w:rsidRDefault="006A7C40" w:rsidP="006A7C40">
      <w:pPr>
        <w:pBdr>
          <w:top w:val="single" w:sz="4" w:space="1" w:color="auto"/>
          <w:left w:val="single" w:sz="4" w:space="4" w:color="auto"/>
          <w:bottom w:val="single" w:sz="4" w:space="1" w:color="auto"/>
          <w:right w:val="single" w:sz="4" w:space="4" w:color="auto"/>
        </w:pBdr>
        <w:rPr>
          <w:sz w:val="28"/>
        </w:rPr>
      </w:pPr>
      <w:r>
        <w:rPr>
          <w:sz w:val="28"/>
        </w:rPr>
        <w:t>APENSE-SE AO PL</w:t>
      </w:r>
      <w:r w:rsidR="001E4449">
        <w:rPr>
          <w:sz w:val="28"/>
        </w:rPr>
        <w:t xml:space="preserve"> </w:t>
      </w:r>
      <w:r>
        <w:rPr>
          <w:sz w:val="28"/>
        </w:rPr>
        <w:t xml:space="preserve">7929/2014. </w:t>
      </w:r>
    </w:p>
    <w:p w:rsidR="006A7C40" w:rsidRDefault="006A7C40" w:rsidP="006A7C40">
      <w:pPr>
        <w:pBdr>
          <w:top w:val="single" w:sz="4" w:space="1" w:color="auto"/>
          <w:left w:val="single" w:sz="4" w:space="4" w:color="auto"/>
          <w:bottom w:val="single" w:sz="4" w:space="1" w:color="auto"/>
          <w:right w:val="single" w:sz="4" w:space="4" w:color="auto"/>
        </w:pBdr>
        <w:rPr>
          <w:sz w:val="28"/>
        </w:rPr>
      </w:pPr>
    </w:p>
    <w:p w:rsidR="006A7C40" w:rsidRDefault="006A7C40" w:rsidP="006A7C40">
      <w:pPr>
        <w:pBdr>
          <w:top w:val="single" w:sz="4" w:space="1" w:color="auto"/>
          <w:left w:val="single" w:sz="4" w:space="4" w:color="auto"/>
          <w:bottom w:val="single" w:sz="4" w:space="1" w:color="auto"/>
          <w:right w:val="single" w:sz="4" w:space="4" w:color="auto"/>
        </w:pBdr>
        <w:rPr>
          <w:b/>
          <w:sz w:val="28"/>
        </w:rPr>
      </w:pPr>
      <w:bookmarkStart w:id="8" w:name="z996642_APRECIACAO"/>
      <w:bookmarkEnd w:id="7"/>
      <w:r>
        <w:rPr>
          <w:b/>
          <w:sz w:val="28"/>
        </w:rPr>
        <w:t>APRECIAÇÃO:</w:t>
      </w:r>
    </w:p>
    <w:p w:rsidR="006A7C40" w:rsidRDefault="006A7C40" w:rsidP="006A7C40">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6A7C40" w:rsidRDefault="006A7C40" w:rsidP="006A7C40">
      <w:pPr>
        <w:pBdr>
          <w:top w:val="single" w:sz="4" w:space="1" w:color="auto"/>
          <w:left w:val="single" w:sz="4" w:space="4" w:color="auto"/>
          <w:bottom w:val="single" w:sz="4" w:space="1" w:color="auto"/>
          <w:right w:val="single" w:sz="4" w:space="4" w:color="auto"/>
        </w:pBdr>
        <w:rPr>
          <w:sz w:val="28"/>
        </w:rPr>
      </w:pPr>
    </w:p>
    <w:bookmarkEnd w:id="8"/>
    <w:p w:rsidR="006A7C40" w:rsidRDefault="006A7C40" w:rsidP="006A7C40">
      <w:pPr>
        <w:rPr>
          <w:sz w:val="28"/>
        </w:rPr>
      </w:pPr>
    </w:p>
    <w:p w:rsidR="006A7C40" w:rsidRDefault="006A7C40" w:rsidP="006A7C40">
      <w:pPr>
        <w:jc w:val="center"/>
        <w:rPr>
          <w:b/>
          <w:sz w:val="28"/>
        </w:rPr>
      </w:pPr>
      <w:bookmarkStart w:id="9" w:name="z996642_PUBINICIAL"/>
      <w:r>
        <w:rPr>
          <w:b/>
          <w:sz w:val="28"/>
        </w:rPr>
        <w:t>PUBLICAÇÃO INICIAL</w:t>
      </w:r>
    </w:p>
    <w:p w:rsidR="006A7C40" w:rsidRDefault="006A7C40" w:rsidP="006A7C40">
      <w:pPr>
        <w:jc w:val="center"/>
        <w:rPr>
          <w:b/>
        </w:rPr>
      </w:pPr>
      <w:r>
        <w:rPr>
          <w:b/>
        </w:rPr>
        <w:t>Art. 137, caput - RICD</w:t>
      </w:r>
    </w:p>
    <w:p w:rsidR="006A7C40" w:rsidRDefault="006A7C40">
      <w:pPr>
        <w:spacing w:after="200" w:line="276" w:lineRule="auto"/>
        <w:jc w:val="left"/>
        <w:rPr>
          <w:b/>
        </w:rPr>
      </w:pPr>
      <w:r>
        <w:rPr>
          <w:b/>
        </w:rPr>
        <w:br w:type="page"/>
      </w:r>
    </w:p>
    <w:p w:rsidR="006A7C40" w:rsidRPr="006A7C40" w:rsidRDefault="006A7C40" w:rsidP="006A7C40">
      <w:pPr>
        <w:widowControl w:val="0"/>
        <w:spacing w:after="600" w:line="360" w:lineRule="exact"/>
        <w:ind w:firstLine="2302"/>
        <w:rPr>
          <w:rFonts w:eastAsia="Times New Roman" w:cs="Times New Roman"/>
          <w:snapToGrid w:val="0"/>
          <w:color w:val="000000"/>
          <w:sz w:val="24"/>
          <w:szCs w:val="20"/>
          <w:lang w:eastAsia="pt-BR"/>
        </w:rPr>
      </w:pPr>
      <w:bookmarkStart w:id="10" w:name="z996642_1308422_TEOR"/>
      <w:bookmarkEnd w:id="9"/>
      <w:r w:rsidRPr="006A7C40">
        <w:rPr>
          <w:rFonts w:eastAsia="Times New Roman" w:cs="Times New Roman"/>
          <w:snapToGrid w:val="0"/>
          <w:color w:val="000000"/>
          <w:sz w:val="24"/>
          <w:szCs w:val="20"/>
          <w:lang w:eastAsia="pt-BR"/>
        </w:rPr>
        <w:lastRenderedPageBreak/>
        <w:t>O</w:t>
      </w:r>
      <w:r w:rsidRPr="006A7C40">
        <w:rPr>
          <w:rFonts w:eastAsia="Times New Roman" w:cs="Times New Roman"/>
          <w:b/>
          <w:snapToGrid w:val="0"/>
          <w:color w:val="000000"/>
          <w:sz w:val="24"/>
          <w:szCs w:val="20"/>
          <w:lang w:eastAsia="pt-BR"/>
        </w:rPr>
        <w:t xml:space="preserve"> </w:t>
      </w:r>
      <w:r w:rsidRPr="006A7C40">
        <w:rPr>
          <w:rFonts w:eastAsia="Times New Roman" w:cs="Times New Roman"/>
          <w:snapToGrid w:val="0"/>
          <w:color w:val="000000"/>
          <w:sz w:val="24"/>
          <w:szCs w:val="20"/>
          <w:lang w:eastAsia="pt-BR"/>
        </w:rPr>
        <w:t>Congresso Nacional</w:t>
      </w:r>
      <w:r w:rsidRPr="006A7C40">
        <w:rPr>
          <w:rFonts w:eastAsia="Times New Roman" w:cs="Times New Roman"/>
          <w:b/>
          <w:snapToGrid w:val="0"/>
          <w:color w:val="000000"/>
          <w:sz w:val="24"/>
          <w:szCs w:val="20"/>
          <w:lang w:eastAsia="pt-BR"/>
        </w:rPr>
        <w:t xml:space="preserve"> </w:t>
      </w:r>
      <w:r w:rsidRPr="006A7C40">
        <w:rPr>
          <w:rFonts w:eastAsia="Times New Roman" w:cs="Times New Roman"/>
          <w:snapToGrid w:val="0"/>
          <w:color w:val="000000"/>
          <w:sz w:val="24"/>
          <w:szCs w:val="20"/>
          <w:lang w:eastAsia="pt-BR"/>
        </w:rPr>
        <w:t>decreta:</w:t>
      </w:r>
    </w:p>
    <w:p w:rsidR="006A7C40" w:rsidRPr="006A7C40" w:rsidRDefault="006A7C40" w:rsidP="006A7C40">
      <w:pPr>
        <w:spacing w:before="120" w:after="120"/>
        <w:ind w:firstLine="1400"/>
        <w:rPr>
          <w:rFonts w:eastAsia="Times New Roman" w:cs="Times New Roman"/>
          <w:sz w:val="24"/>
          <w:szCs w:val="20"/>
          <w:lang w:eastAsia="pt-BR"/>
        </w:rPr>
      </w:pPr>
      <w:r w:rsidRPr="006A7C40">
        <w:rPr>
          <w:rFonts w:eastAsia="Times New Roman" w:cs="Times New Roman"/>
          <w:sz w:val="24"/>
          <w:szCs w:val="20"/>
          <w:lang w:eastAsia="pt-BR"/>
        </w:rPr>
        <w:t>“Art. 1º. Os arts. 54 e 55 da Lei nº 12.305, de 2 de agosto de 2010, passam a vigorar com a seguinte redação:</w:t>
      </w:r>
    </w:p>
    <w:p w:rsidR="006A7C40" w:rsidRPr="006A7C40" w:rsidRDefault="006A7C40" w:rsidP="006A7C40">
      <w:pPr>
        <w:spacing w:before="120" w:after="120"/>
        <w:ind w:left="266" w:right="164" w:firstLine="1418"/>
        <w:rPr>
          <w:rFonts w:eastAsia="Times New Roman" w:cs="Times New Roman"/>
          <w:b/>
          <w:i/>
          <w:sz w:val="24"/>
          <w:szCs w:val="20"/>
          <w:lang w:eastAsia="pt-BR"/>
        </w:rPr>
      </w:pPr>
    </w:p>
    <w:p w:rsidR="006A7C40" w:rsidRPr="006A7C40" w:rsidRDefault="006A7C40" w:rsidP="006A7C40">
      <w:pPr>
        <w:spacing w:before="120" w:after="120" w:line="360" w:lineRule="auto"/>
        <w:ind w:left="266" w:right="164" w:firstLine="1418"/>
        <w:rPr>
          <w:rFonts w:eastAsia="Times New Roman" w:cs="Times New Roman"/>
          <w:b/>
          <w:i/>
          <w:sz w:val="24"/>
          <w:szCs w:val="20"/>
          <w:lang w:eastAsia="pt-BR"/>
        </w:rPr>
      </w:pPr>
      <w:r w:rsidRPr="006A7C40">
        <w:rPr>
          <w:rFonts w:eastAsia="Times New Roman" w:cs="Times New Roman"/>
          <w:b/>
          <w:i/>
          <w:sz w:val="24"/>
          <w:szCs w:val="20"/>
          <w:lang w:eastAsia="pt-BR"/>
        </w:rPr>
        <w:t>‘Art. 54.  A disposição final ambientalmente adequada dos rejeitos deverá ser implantada em, no máximo, 8 (oito) anos após a data de publicação desta Lei, nos termos do plano estadual de resíduos sólidos e do plano municipal de gestão integrada de resíduos sólidos. (NR)</w:t>
      </w:r>
    </w:p>
    <w:p w:rsidR="006A7C40" w:rsidRPr="006A7C40" w:rsidRDefault="006A7C40" w:rsidP="006A7C40">
      <w:pPr>
        <w:ind w:left="1684" w:right="164"/>
        <w:rPr>
          <w:rFonts w:eastAsia="Times New Roman" w:cs="Times New Roman"/>
          <w:b/>
          <w:i/>
          <w:sz w:val="24"/>
          <w:szCs w:val="20"/>
          <w:lang w:eastAsia="pt-BR"/>
        </w:rPr>
      </w:pPr>
    </w:p>
    <w:p w:rsidR="006A7C40" w:rsidRPr="006A7C40" w:rsidRDefault="006A7C40" w:rsidP="006A7C40">
      <w:pPr>
        <w:spacing w:line="360" w:lineRule="auto"/>
        <w:ind w:left="266" w:right="164" w:firstLine="1418"/>
        <w:rPr>
          <w:rFonts w:eastAsia="Times New Roman" w:cs="Times New Roman"/>
          <w:i/>
          <w:sz w:val="24"/>
          <w:szCs w:val="20"/>
          <w:lang w:eastAsia="pt-BR"/>
        </w:rPr>
      </w:pPr>
      <w:r w:rsidRPr="006A7C40">
        <w:rPr>
          <w:rFonts w:eastAsia="Times New Roman" w:cs="Times New Roman"/>
          <w:b/>
          <w:i/>
          <w:sz w:val="24"/>
          <w:szCs w:val="20"/>
          <w:lang w:eastAsia="pt-BR"/>
        </w:rPr>
        <w:t>Art. 55. O disposto nos arts. 16 e 18 entra em vigor 6 (seis) anos após a data de publicação desta Lei. (NR)’</w:t>
      </w:r>
      <w:r w:rsidRPr="006A7C40">
        <w:rPr>
          <w:rFonts w:eastAsia="Times New Roman" w:cs="Times New Roman"/>
          <w:i/>
          <w:sz w:val="24"/>
          <w:szCs w:val="20"/>
          <w:lang w:eastAsia="pt-BR"/>
        </w:rPr>
        <w:t>”</w:t>
      </w:r>
    </w:p>
    <w:p w:rsidR="006A7C40" w:rsidRPr="006A7C40" w:rsidRDefault="006A7C40" w:rsidP="006A7C40">
      <w:pPr>
        <w:spacing w:line="360" w:lineRule="auto"/>
        <w:ind w:left="266" w:right="164" w:firstLine="1418"/>
        <w:rPr>
          <w:rFonts w:eastAsia="Times New Roman" w:cs="Times New Roman"/>
          <w:i/>
          <w:sz w:val="24"/>
          <w:szCs w:val="20"/>
          <w:lang w:eastAsia="pt-BR"/>
        </w:rPr>
      </w:pPr>
    </w:p>
    <w:p w:rsidR="006A7C40" w:rsidRPr="006A7C40" w:rsidRDefault="006A7C40" w:rsidP="006A7C40">
      <w:pPr>
        <w:spacing w:before="120" w:after="120"/>
        <w:ind w:firstLine="1400"/>
        <w:rPr>
          <w:rFonts w:eastAsia="Times New Roman" w:cs="Times New Roman"/>
          <w:sz w:val="24"/>
          <w:szCs w:val="20"/>
          <w:lang w:eastAsia="pt-BR"/>
        </w:rPr>
      </w:pPr>
      <w:r w:rsidRPr="006A7C40">
        <w:rPr>
          <w:rFonts w:eastAsia="Times New Roman" w:cs="Times New Roman"/>
          <w:sz w:val="24"/>
          <w:szCs w:val="20"/>
          <w:lang w:eastAsia="pt-BR"/>
        </w:rPr>
        <w:t>“Art. 2º. Inclua-se o seguinte art. 56 na Lei nº 12.305, de 2 de agosto de 2010, renumerando-se os demais artigos:</w:t>
      </w:r>
    </w:p>
    <w:p w:rsidR="006A7C40" w:rsidRPr="006A7C40" w:rsidRDefault="006A7C40" w:rsidP="006A7C40">
      <w:pPr>
        <w:ind w:left="266" w:firstLine="1418"/>
        <w:rPr>
          <w:rFonts w:eastAsia="Times New Roman"/>
          <w:sz w:val="24"/>
          <w:szCs w:val="24"/>
          <w:lang w:eastAsia="pt-BR"/>
        </w:rPr>
      </w:pPr>
    </w:p>
    <w:p w:rsidR="006A7C40" w:rsidRPr="006A7C40" w:rsidRDefault="006A7C40" w:rsidP="006A7C40">
      <w:pPr>
        <w:spacing w:line="360" w:lineRule="auto"/>
        <w:ind w:left="266" w:firstLine="1418"/>
        <w:rPr>
          <w:rFonts w:eastAsia="Times New Roman"/>
          <w:b/>
          <w:i/>
          <w:sz w:val="24"/>
          <w:szCs w:val="24"/>
          <w:lang w:eastAsia="pt-BR"/>
        </w:rPr>
      </w:pPr>
      <w:r w:rsidRPr="006A7C40">
        <w:rPr>
          <w:rFonts w:eastAsia="Times New Roman"/>
          <w:b/>
          <w:i/>
          <w:sz w:val="24"/>
          <w:szCs w:val="24"/>
          <w:lang w:eastAsia="pt-BR"/>
        </w:rPr>
        <w:t>“Art. 56. O descumprimento do previsto nos arts. 54 e 55 da Lei 12.305/2010 no período compreendido entre o dia 2 de agosto de 2014 e a data da entrada em vigor desta Lei não sujeitará o responsável às penalidades previstas no art. 51 da Lei 12.305, de 2010”.</w:t>
      </w:r>
    </w:p>
    <w:p w:rsidR="006A7C40" w:rsidRPr="006A7C40" w:rsidRDefault="006A7C40" w:rsidP="006A7C40">
      <w:pPr>
        <w:ind w:left="266" w:firstLine="1418"/>
        <w:rPr>
          <w:rFonts w:eastAsia="Times New Roman"/>
          <w:b/>
          <w:sz w:val="24"/>
          <w:szCs w:val="24"/>
          <w:lang w:eastAsia="pt-BR"/>
        </w:rPr>
      </w:pPr>
    </w:p>
    <w:p w:rsidR="006A7C40" w:rsidRPr="006A7C40" w:rsidRDefault="006A7C40" w:rsidP="006A7C40">
      <w:pPr>
        <w:spacing w:before="300" w:after="300"/>
        <w:ind w:firstLine="600"/>
        <w:rPr>
          <w:rFonts w:eastAsia="Times New Roman"/>
          <w:b/>
          <w:i/>
          <w:color w:val="000000"/>
          <w:sz w:val="24"/>
          <w:szCs w:val="24"/>
          <w:lang w:eastAsia="pt-BR"/>
        </w:rPr>
      </w:pPr>
      <w:r w:rsidRPr="006A7C40">
        <w:rPr>
          <w:rFonts w:eastAsia="Times New Roman"/>
          <w:b/>
          <w:i/>
          <w:sz w:val="24"/>
          <w:szCs w:val="24"/>
          <w:lang w:eastAsia="pt-BR"/>
        </w:rPr>
        <w:t>Art. 57</w:t>
      </w:r>
      <w:r w:rsidRPr="006A7C40">
        <w:rPr>
          <w:rFonts w:eastAsia="Times New Roman"/>
          <w:i/>
          <w:color w:val="000000"/>
          <w:sz w:val="24"/>
          <w:szCs w:val="24"/>
          <w:lang w:eastAsia="pt-BR"/>
        </w:rPr>
        <w:t xml:space="preserve">.  </w:t>
      </w:r>
      <w:r w:rsidRPr="006A7C40">
        <w:rPr>
          <w:rFonts w:eastAsia="Times New Roman"/>
          <w:b/>
          <w:i/>
          <w:color w:val="000000"/>
          <w:sz w:val="24"/>
          <w:szCs w:val="24"/>
          <w:lang w:eastAsia="pt-BR"/>
        </w:rPr>
        <w:t>A logística reversa relativa aos produtos de que tratam os incisos V e VI do </w:t>
      </w:r>
      <w:r w:rsidRPr="006A7C40">
        <w:rPr>
          <w:rFonts w:eastAsia="Times New Roman"/>
          <w:b/>
          <w:bCs/>
          <w:i/>
          <w:color w:val="000000"/>
          <w:sz w:val="24"/>
          <w:szCs w:val="24"/>
          <w:lang w:eastAsia="pt-BR"/>
        </w:rPr>
        <w:t>caput</w:t>
      </w:r>
      <w:r w:rsidRPr="006A7C40">
        <w:rPr>
          <w:rFonts w:eastAsia="Times New Roman"/>
          <w:b/>
          <w:i/>
          <w:color w:val="000000"/>
          <w:sz w:val="24"/>
          <w:szCs w:val="24"/>
          <w:lang w:eastAsia="pt-BR"/>
        </w:rPr>
        <w:t> do art. 33 será implementada progressivamente segundo cronograma estabelecido em regulamento. (NR) </w:t>
      </w:r>
    </w:p>
    <w:p w:rsidR="006A7C40" w:rsidRPr="006A7C40" w:rsidRDefault="006A7C40" w:rsidP="006A7C40">
      <w:pPr>
        <w:spacing w:before="300" w:after="300"/>
        <w:ind w:firstLine="600"/>
        <w:rPr>
          <w:rFonts w:eastAsia="Times New Roman"/>
          <w:color w:val="000000"/>
          <w:sz w:val="24"/>
          <w:szCs w:val="24"/>
          <w:lang w:eastAsia="pt-BR"/>
        </w:rPr>
      </w:pPr>
      <w:r w:rsidRPr="006A7C40">
        <w:rPr>
          <w:rFonts w:eastAsia="Times New Roman"/>
          <w:color w:val="000000"/>
          <w:sz w:val="24"/>
          <w:szCs w:val="24"/>
          <w:lang w:eastAsia="pt-BR"/>
        </w:rPr>
        <w:t>Art. 3º.  Esta Lei entra em vigor na data de sua publicação. </w:t>
      </w:r>
    </w:p>
    <w:p w:rsidR="006A7C40" w:rsidRPr="006A7C40" w:rsidRDefault="006A7C40" w:rsidP="006A7C40">
      <w:pPr>
        <w:ind w:left="266" w:firstLine="1418"/>
        <w:rPr>
          <w:rFonts w:eastAsia="Times New Roman"/>
          <w:b/>
          <w:sz w:val="24"/>
          <w:szCs w:val="24"/>
          <w:lang w:eastAsia="pt-BR"/>
        </w:rPr>
      </w:pPr>
    </w:p>
    <w:p w:rsidR="006A7C40" w:rsidRPr="006A7C40" w:rsidRDefault="006A7C40" w:rsidP="006A7C40">
      <w:pPr>
        <w:ind w:left="1684" w:right="164"/>
        <w:rPr>
          <w:rFonts w:eastAsia="Times New Roman" w:cs="Times New Roman"/>
          <w:sz w:val="24"/>
          <w:szCs w:val="20"/>
          <w:lang w:eastAsia="pt-BR"/>
        </w:rPr>
      </w:pPr>
    </w:p>
    <w:p w:rsidR="006A7C40" w:rsidRPr="006A7C40" w:rsidRDefault="006A7C40" w:rsidP="006A7C40">
      <w:pPr>
        <w:ind w:left="108" w:right="164" w:firstLine="1503"/>
        <w:rPr>
          <w:rFonts w:eastAsia="Times New Roman" w:cs="Times New Roman"/>
          <w:b/>
          <w:sz w:val="24"/>
          <w:szCs w:val="20"/>
          <w:lang w:eastAsia="pt-BR"/>
        </w:rPr>
      </w:pPr>
    </w:p>
    <w:p w:rsidR="006A7C40" w:rsidRPr="006A7C40" w:rsidRDefault="006A7C40" w:rsidP="006A7C40">
      <w:pPr>
        <w:ind w:left="108" w:right="164"/>
        <w:jc w:val="center"/>
        <w:rPr>
          <w:rFonts w:eastAsia="Times New Roman" w:cs="Times New Roman"/>
          <w:b/>
          <w:sz w:val="24"/>
          <w:szCs w:val="20"/>
          <w:lang w:eastAsia="pt-BR"/>
        </w:rPr>
      </w:pPr>
      <w:r w:rsidRPr="006A7C40">
        <w:rPr>
          <w:rFonts w:eastAsia="Times New Roman" w:cs="Times New Roman"/>
          <w:b/>
          <w:sz w:val="24"/>
          <w:szCs w:val="20"/>
          <w:lang w:eastAsia="pt-BR"/>
        </w:rPr>
        <w:t>JUSTIFICAÇÃO</w:t>
      </w:r>
    </w:p>
    <w:p w:rsidR="006A7C40" w:rsidRPr="006A7C40" w:rsidRDefault="006A7C40" w:rsidP="006A7C40">
      <w:pPr>
        <w:ind w:left="108" w:right="164" w:firstLine="1503"/>
        <w:jc w:val="left"/>
        <w:rPr>
          <w:rFonts w:eastAsia="Times New Roman" w:cs="Times New Roman"/>
          <w:sz w:val="24"/>
          <w:szCs w:val="20"/>
          <w:lang w:eastAsia="pt-BR"/>
        </w:rPr>
      </w:pPr>
    </w:p>
    <w:p w:rsidR="006A7C40" w:rsidRPr="006A7C40" w:rsidRDefault="006A7C40" w:rsidP="006A7C40">
      <w:pPr>
        <w:spacing w:line="360" w:lineRule="auto"/>
        <w:ind w:left="108" w:right="164" w:firstLine="1503"/>
        <w:rPr>
          <w:rFonts w:eastAsia="Times New Roman" w:cs="Times New Roman"/>
          <w:sz w:val="24"/>
          <w:szCs w:val="20"/>
          <w:lang w:eastAsia="pt-BR"/>
        </w:rPr>
      </w:pPr>
      <w:r w:rsidRPr="006A7C40">
        <w:rPr>
          <w:rFonts w:eastAsia="Times New Roman" w:cs="Times New Roman"/>
          <w:sz w:val="24"/>
          <w:szCs w:val="20"/>
          <w:lang w:eastAsia="pt-BR"/>
        </w:rPr>
        <w:t xml:space="preserve">A Lei dos Resíduos Sólidos (Lei nº 12.305/2010), aprovada em agosto de 2010, estabeleceu dois prazos importantes: dois anos para estados e municípios elaborarem seus planos de resíduos (art. 55) e quatro anos para o fim dos lixões (art. 54). </w:t>
      </w:r>
    </w:p>
    <w:p w:rsidR="006A7C40" w:rsidRPr="006A7C40" w:rsidRDefault="006A7C40" w:rsidP="006A7C40">
      <w:pPr>
        <w:spacing w:line="360" w:lineRule="auto"/>
        <w:ind w:left="108" w:right="164" w:firstLine="1503"/>
        <w:rPr>
          <w:rFonts w:eastAsia="Times New Roman" w:cs="Times New Roman"/>
          <w:sz w:val="24"/>
          <w:szCs w:val="20"/>
          <w:lang w:eastAsia="pt-BR"/>
        </w:rPr>
      </w:pPr>
      <w:r w:rsidRPr="006A7C40">
        <w:rPr>
          <w:rFonts w:eastAsia="Times New Roman" w:cs="Times New Roman"/>
          <w:sz w:val="24"/>
          <w:szCs w:val="20"/>
          <w:lang w:eastAsia="pt-BR"/>
        </w:rPr>
        <w:lastRenderedPageBreak/>
        <w:t xml:space="preserve">O prazo relativo aos planos estaduais e municipais já se esgotou. Por decorrência disso, os entes federados que não elaboraram esses planos em tese não podem ter acesso a recursos da União, ou por ela controlados, destinados a empreendimentos e serviços relacionados à gestão de resíduos sólidos (ver o </w:t>
      </w:r>
      <w:r w:rsidRPr="006A7C40">
        <w:rPr>
          <w:rFonts w:eastAsia="Times New Roman" w:cs="Times New Roman"/>
          <w:i/>
          <w:sz w:val="24"/>
          <w:szCs w:val="20"/>
          <w:lang w:eastAsia="pt-BR"/>
        </w:rPr>
        <w:t>caput</w:t>
      </w:r>
      <w:r w:rsidRPr="006A7C40">
        <w:rPr>
          <w:rFonts w:eastAsia="Times New Roman" w:cs="Times New Roman"/>
          <w:sz w:val="24"/>
          <w:szCs w:val="20"/>
          <w:lang w:eastAsia="pt-BR"/>
        </w:rPr>
        <w:t xml:space="preserve"> dos arts. 16 e 18 da Lei nº 12.305/2010).</w:t>
      </w:r>
    </w:p>
    <w:p w:rsidR="006A7C40" w:rsidRPr="006A7C40" w:rsidRDefault="006A7C40" w:rsidP="006A7C40">
      <w:pPr>
        <w:spacing w:line="360" w:lineRule="auto"/>
        <w:ind w:left="108" w:right="164" w:firstLine="1503"/>
        <w:rPr>
          <w:rFonts w:eastAsia="Times New Roman" w:cs="Times New Roman"/>
          <w:sz w:val="24"/>
          <w:szCs w:val="20"/>
          <w:lang w:eastAsia="pt-BR"/>
        </w:rPr>
      </w:pPr>
      <w:r w:rsidRPr="006A7C40">
        <w:rPr>
          <w:rFonts w:eastAsia="Times New Roman" w:cs="Times New Roman"/>
          <w:sz w:val="24"/>
          <w:szCs w:val="20"/>
          <w:lang w:eastAsia="pt-BR"/>
        </w:rPr>
        <w:t>O prazo referente ao fim dos lixões, por sua vez, esgotou em agosto de 2014. A grande maioria dos municípios não tiveram condições, nem técnicas, nem financeiras, de fazer valer essa determinação legal.</w:t>
      </w:r>
    </w:p>
    <w:p w:rsidR="006A7C40" w:rsidRPr="006A7C40" w:rsidRDefault="006A7C40" w:rsidP="006A7C40">
      <w:pPr>
        <w:spacing w:line="360" w:lineRule="auto"/>
        <w:ind w:left="108" w:right="164" w:firstLine="1503"/>
        <w:rPr>
          <w:rFonts w:eastAsia="Times New Roman" w:cs="Times New Roman"/>
          <w:sz w:val="24"/>
          <w:szCs w:val="20"/>
          <w:lang w:eastAsia="pt-BR"/>
        </w:rPr>
      </w:pPr>
      <w:r w:rsidRPr="006A7C40">
        <w:rPr>
          <w:rFonts w:eastAsia="Times New Roman" w:cs="Times New Roman"/>
          <w:sz w:val="24"/>
          <w:szCs w:val="20"/>
          <w:lang w:eastAsia="pt-BR"/>
        </w:rPr>
        <w:t>Entendemos que os prazos da Lei dos Resíduos Sólidos obrigatoriamente devem ser ajustados e prorrogados. Nos últimos quatro anos, a União não prestou o apoio técnico e financeiro necessário para as municipalidades nesse campo. Os governos estaduais também não estão conseguindo cumprir suas tarefas quanto à gestão dos resíduos sólidos, nem apoiar os governos locais.</w:t>
      </w:r>
    </w:p>
    <w:p w:rsidR="006A7C40" w:rsidRPr="006A7C40" w:rsidRDefault="006A7C40" w:rsidP="006A7C40">
      <w:pPr>
        <w:spacing w:after="120" w:line="360" w:lineRule="auto"/>
        <w:ind w:firstLine="2302"/>
        <w:rPr>
          <w:rFonts w:eastAsia="Times New Roman" w:cs="Times New Roman"/>
          <w:snapToGrid w:val="0"/>
          <w:color w:val="000000"/>
          <w:sz w:val="24"/>
          <w:szCs w:val="20"/>
          <w:lang w:eastAsia="pt-BR"/>
        </w:rPr>
      </w:pPr>
      <w:r w:rsidRPr="006A7C40">
        <w:rPr>
          <w:rFonts w:eastAsia="Times New Roman" w:cs="Times New Roman"/>
          <w:snapToGrid w:val="0"/>
          <w:color w:val="000000"/>
          <w:sz w:val="24"/>
          <w:szCs w:val="20"/>
          <w:lang w:eastAsia="pt-BR"/>
        </w:rPr>
        <w:t>Além da dilação do prazo, faz-se necessário conectar o final dos lixões com a formulação e aplicação dos planos estaduais e municipais de resíduos sólidos. A destinação adequada dos rejeitos impõe planejamento prévio, não é um fim que possa ser alcançado sem a concretização dos planos de resíduos. Essa a razão pela qual propomos o presente Projeto de Lei, esperando contar com o decisivo apoio de nossos nobres Pares.</w:t>
      </w:r>
    </w:p>
    <w:p w:rsidR="006A7C40" w:rsidRPr="006A7C40" w:rsidRDefault="006A7C40" w:rsidP="001E4449">
      <w:pPr>
        <w:keepNext/>
        <w:widowControl w:val="0"/>
        <w:spacing w:before="554" w:after="600" w:line="360" w:lineRule="exact"/>
        <w:ind w:firstLine="2302"/>
        <w:rPr>
          <w:rFonts w:eastAsia="Times New Roman" w:cs="Times New Roman"/>
          <w:snapToGrid w:val="0"/>
          <w:color w:val="000000"/>
          <w:sz w:val="24"/>
          <w:szCs w:val="20"/>
          <w:lang w:eastAsia="pt-BR"/>
        </w:rPr>
      </w:pPr>
      <w:r w:rsidRPr="006A7C40">
        <w:rPr>
          <w:rFonts w:eastAsia="Times New Roman" w:cs="Times New Roman"/>
          <w:snapToGrid w:val="0"/>
          <w:color w:val="000000"/>
          <w:sz w:val="24"/>
          <w:szCs w:val="20"/>
          <w:lang w:eastAsia="pt-BR"/>
        </w:rPr>
        <w:t xml:space="preserve">Sala das Sessões, em </w:t>
      </w:r>
      <w:r w:rsidR="001E4449">
        <w:rPr>
          <w:rFonts w:eastAsia="Times New Roman" w:cs="Times New Roman"/>
          <w:snapToGrid w:val="0"/>
          <w:color w:val="000000"/>
          <w:sz w:val="24"/>
          <w:szCs w:val="20"/>
          <w:lang w:eastAsia="pt-BR"/>
        </w:rPr>
        <w:t>11</w:t>
      </w:r>
      <w:r w:rsidRPr="006A7C40">
        <w:rPr>
          <w:rFonts w:eastAsia="Times New Roman" w:cs="Times New Roman"/>
          <w:snapToGrid w:val="0"/>
          <w:color w:val="000000"/>
          <w:sz w:val="24"/>
          <w:szCs w:val="20"/>
          <w:lang w:eastAsia="pt-BR"/>
        </w:rPr>
        <w:t xml:space="preserve"> de</w:t>
      </w:r>
      <w:r w:rsidR="001E4449">
        <w:rPr>
          <w:rFonts w:eastAsia="Times New Roman" w:cs="Times New Roman"/>
          <w:snapToGrid w:val="0"/>
          <w:color w:val="000000"/>
          <w:sz w:val="24"/>
          <w:szCs w:val="20"/>
          <w:lang w:eastAsia="pt-BR"/>
        </w:rPr>
        <w:t xml:space="preserve"> março </w:t>
      </w:r>
      <w:r w:rsidRPr="006A7C40">
        <w:rPr>
          <w:rFonts w:eastAsia="Times New Roman" w:cs="Times New Roman"/>
          <w:snapToGrid w:val="0"/>
          <w:color w:val="000000"/>
          <w:sz w:val="24"/>
          <w:szCs w:val="20"/>
          <w:lang w:eastAsia="pt-BR"/>
        </w:rPr>
        <w:t>de 2015.</w:t>
      </w:r>
    </w:p>
    <w:p w:rsidR="006A7C40" w:rsidRPr="006A7C40" w:rsidRDefault="006A7C40" w:rsidP="006A7C40">
      <w:pPr>
        <w:widowControl w:val="0"/>
        <w:spacing w:line="360" w:lineRule="exact"/>
        <w:ind w:left="1701"/>
        <w:jc w:val="center"/>
        <w:rPr>
          <w:rFonts w:eastAsia="Times New Roman" w:cs="Times New Roman"/>
          <w:snapToGrid w:val="0"/>
          <w:color w:val="000000"/>
          <w:sz w:val="24"/>
          <w:szCs w:val="20"/>
          <w:lang w:eastAsia="pt-BR"/>
        </w:rPr>
      </w:pPr>
      <w:r w:rsidRPr="006A7C40">
        <w:rPr>
          <w:rFonts w:eastAsia="Times New Roman" w:cs="Times New Roman"/>
          <w:snapToGrid w:val="0"/>
          <w:color w:val="000000"/>
          <w:sz w:val="24"/>
          <w:szCs w:val="20"/>
          <w:lang w:eastAsia="pt-BR"/>
        </w:rPr>
        <w:t xml:space="preserve">Deputado MANOEL JUNIOR </w:t>
      </w:r>
    </w:p>
    <w:p w:rsidR="006A7C40" w:rsidRDefault="006A7C40" w:rsidP="006A7C40">
      <w:pPr>
        <w:rPr>
          <w:sz w:val="24"/>
        </w:rPr>
      </w:pPr>
    </w:p>
    <w:p w:rsidR="006A7C40" w:rsidRDefault="006A7C40" w:rsidP="006A7C40">
      <w:pPr>
        <w:pBdr>
          <w:top w:val="single" w:sz="4" w:space="1" w:color="auto"/>
          <w:left w:val="single" w:sz="4" w:space="4" w:color="auto"/>
          <w:bottom w:val="single" w:sz="4" w:space="1" w:color="auto"/>
          <w:right w:val="single" w:sz="4" w:space="4" w:color="auto"/>
        </w:pBdr>
        <w:jc w:val="center"/>
        <w:rPr>
          <w:b/>
          <w:sz w:val="24"/>
        </w:rPr>
      </w:pPr>
      <w:bookmarkStart w:id="11" w:name="z996642_LEGISLACAO"/>
      <w:bookmarkEnd w:id="10"/>
      <w:r>
        <w:rPr>
          <w:b/>
          <w:sz w:val="24"/>
        </w:rPr>
        <w:t>LEGISLAÇÃO CITADA ANEXADA PELA</w:t>
      </w:r>
    </w:p>
    <w:p w:rsidR="006A7C40" w:rsidRDefault="006A7C40" w:rsidP="006A7C40">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6A7C40" w:rsidRDefault="006A7C40" w:rsidP="006A7C40">
      <w:pPr>
        <w:jc w:val="center"/>
        <w:rPr>
          <w:b/>
          <w:sz w:val="24"/>
        </w:rPr>
      </w:pPr>
    </w:p>
    <w:p w:rsidR="006A7C40" w:rsidRPr="006A7C40" w:rsidRDefault="006A7C40" w:rsidP="006A7C40">
      <w:pPr>
        <w:jc w:val="center"/>
        <w:rPr>
          <w:rFonts w:ascii="Times New Roman" w:eastAsia="Times New Roman" w:hAnsi="Times New Roman" w:cs="Times New Roman"/>
          <w:b/>
          <w:sz w:val="28"/>
          <w:szCs w:val="28"/>
          <w:lang w:eastAsia="pt-BR"/>
        </w:rPr>
      </w:pPr>
      <w:r w:rsidRPr="006A7C40">
        <w:rPr>
          <w:rFonts w:ascii="Times New Roman" w:eastAsia="Times New Roman" w:hAnsi="Times New Roman" w:cs="Times New Roman"/>
          <w:b/>
          <w:sz w:val="28"/>
          <w:szCs w:val="28"/>
          <w:lang w:eastAsia="pt-BR"/>
        </w:rPr>
        <w:t>LEI Nº 12.305, DE 2 DE AGOSTO DE 2010</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left="4536"/>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Institui a Política Nacional de Resíduos Sólidos; altera a Lei nº 9.605, de 12 de fevereiro de 1998; e dá outras providências. </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O PRESIDENTE DA REPÚBLICA</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lastRenderedPageBreak/>
        <w:t xml:space="preserve">Faço saber que o Congresso Nacional decreta e eu sanciono a seguinte Lei: </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jc w:val="left"/>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TÍTULO III</w:t>
      </w: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DAS DIRETRIZES APLICÁVEIS AOS RESÍDUOS SÓLIDOS</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jc w:val="left"/>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CAPÍTULO II</w:t>
      </w: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DOS PLANOS DE RESÍDUOS SÓLIDOS</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jc w:val="left"/>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Seção III</w:t>
      </w: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Dos Planos Estaduais de Resíduos Sólidos</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16. A elaboração de plano estadual de resíduos sólidos, nos termos previstos por esta Lei, é condição para os Estados terem acesso a recursos da União, ou por ela controlados, destinados a empreendimentos e serviços relacionados à gestão de resíduos sólidos, ou para serem beneficiados por incentivos ou financiamentos de entidades federais de crédito ou fomento para tal finalidade.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Serão priorizados no acesso aos recursos da União referidos no caput os Estados que instituírem microrregiões, consoante o § 3º do art. 25 da Constituição Federal, para integrar a organização, o planejamento e a execução das ações a cargo de Municípios limítrofes na gestão dos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2º Serão estabelecidas em regulamento normas complementares sobre o acesso aos recursos da União na forma deste artigo.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3º Respeitada a responsabilidade dos geradores nos termos desta Lei, as microrregiões instituídas conforme previsto no § 1º abrangem atividades de coleta seletiva, recuperação e reciclagem, tratamento e destinação final dos resíduos sólidos urbanos, a gestão de resíduos de construção civil, de serviços de transporte, de serviços de saúde, agrossilvopastoris ou outros resíduos, de acordo com as peculiaridades microrregionais.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17. O plano estadual de resíduos sólidos será elaborado para vigência por prazo indeterminado, abrangendo todo o território do Estado, com horizonte de atuação de 20 (vinte) anos e revisões a cada 4 (quatro) anos, e tendo como conteúdo mínimo: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diagnóstico, incluída a identificação dos principais fluxos de resíduos no Estado e seus impactos socioeconômicos e ambientais;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proposição de cenários;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III - metas de redução, reutilização, reciclagem, entre outras, com vistas a reduzir a quantidade de resíduos e rejeitos encaminhados para disposição final ambientalmente adequada;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IV - metas para o aproveitamento energético dos gases gerados nas unidades de disposição final de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 - metas para a eliminação e recuperação de lixões, associadas à inclusão social e à emancipação econômica de catadores de materiais reutilizáveis e recicláveis;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 - programas, projetos e ações para o atendimento das metas previstas;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VII - normas e condicionantes técnicas para o acesso a recursos do Estado, para a obtenção de seu aval ou para o acesso de recursos administrados, direta ou indiretamente, por entidade estadual, quando destinados às ações e programas de interesse dos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VIII - medidas para incentivar e viabilizar a gestão consorciada ou compartilhada dos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lastRenderedPageBreak/>
        <w:t>IX - diretrizes para o planejamento e demais atividades de gestão de resíduos sólidos de regiões metropolitanas, aglomerações urbanas e microrregiões;</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 - normas e diretrizes para a disposição final de rejeitos e, quando couber, de resíduos, respeitadas as disposições estabelecidas em âmbito nacional;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 - previsão, em conformidade com os demais instrumentos de planejamento territorial, especialmente o zoneamento ecológicoeconômico e o zoneamento costeiro, de: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a) zonas favoráveis para a localização de unidades de tratamento de resíduos sólidos ou de disposição final de rejeitos;</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b) áreas degradadas em razão de disposição inadequada de resíduos sólidos ou rejeitos a serem objeto de recuperação ambiental;</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XII - meios a serem utilizados para o controle e a fiscalização, no âmbito estadual, de sua implementação e operacionalização, assegurado o controle social.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Além do plano estadual de resíduos sólidos, os Estados poderão elaborar planos microrregionais de resíduos sólidos, bem como planos específicos direcionados às regiões metropolitanas ou às aglomerações urbanas.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2º A elaboração e a implementação pelos Estados de planos microrregionais de resíduos sólidos, ou de planos de regiões metropolitanas ou aglomerações urbanas, em consonância com o previsto no § 1º, dar-se-ão obrigatoriamente com a participação dos Municípios envolvidos e não excluem nem substituem qualquer das prerrogativas a cargo dos Municípios previstas por esta Lei.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3º Respeitada a responsabilidade dos geradores nos termos desta Lei, o plano microrregional de resíduos sólidos deve atender ao previsto para o plano estadual e estabelecer soluções integradas para a coleta seletiva, a recuperação e a reciclagem, o tratamento e a destinação final dos resíduos sólidos urbanos e, consideradas as peculiaridades microrregionais, outros tipos de resíduos.</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Seção IV</w:t>
      </w: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Dos Planos Municipais de Gestão Integrada de Resíduos Sólidos</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18. A elaboração de plano municipal de gestão integrada de resíduos sólidos, nos termos previstos por esta Lei, é condição para o Distrito Federal e os Municípios terem acesso a recursos da União, ou por ela controlados, destinados a empreendimentos e serviços relacionados à limpeza urbana e ao manejo de resíduos sólidos, ou para serem beneficiados por incentivos ou financiamentos de entidades federais de crédito ou fomento para tal finalidade.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Serão priorizados no acesso aos recursos da União referidos no caput os Municípios que: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optarem por soluções consorciadas intermunicipais para a gestão dos resíduos sólidos, incluída a elaboração e implementação de plano intermunicipal, ou que se inserirem de forma voluntária nos planos microrregionais de resíduos sólidos referidos no § 1º do art. 16;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implantarem a coleta seletiva com a participação de cooperativas ou outras formas de associação de catadores de materiais reutilizáveis e recicláveis formadas por pessoas físicas de baixa renda.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2º Serão estabelecidas em regulamento normas complementares sobre o acesso aos recursos da União na forma deste artigo.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19. O plano municipal de gestão integrada de resíduos sólidos tem o seguinte conteúdo mínimo: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lastRenderedPageBreak/>
        <w:t xml:space="preserve">I - diagnóstico da situação dos resíduos sólidos gerados no respectivo território, contendo a origem, o volume, a caracterização dos resíduos e as formas de destinação e disposição final adotadas;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identificação de áreas favoráveis para disposição final ambientalmente adequada de rejeitos, observado o plano diretor de que trata o § 1º do art. 182 da Constituição Federal e o zoneamento ambiental, se houver;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III - identificação das possibilidades de implantação de soluções consorciadas ou compartilhadas com outros Municípios, considerando, nos critérios de economia de escala, a proximidade dos locais estabelecidos e as formas de prevenção dos riscos ambientais;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IV - identificação dos resíduos sólidos e dos geradores sujeitos a plano de gerenciamento específico nos termos do art. 20 ou a sistema de logística reversa na forma do art. 33, observadas as disposições desta Lei e de seu regulamento, bem como as normas estabelecidas pelos órgãos do Sisnama e do SNVS;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 - procedimentos operacionais e especificações mínimas a serem adotados nos serviços públicos de limpeza urbana e de manejo de resíduos sólidos, incluída a disposição final ambientalmente adequada dos rejeitos e observada a Lei nº 11.445, de 2007;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 - indicadores de desempenho operacional e ambiental dos serviços públicos de limpeza urbana e de manejo de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VII - regras para o transporte e outras etapas do gerenciamento de resíduos sólidos de que trata o art. 20, observadas as normas estabelecidas pelos órgãos do Sisnama e do SNVS e demais disposições pertinentes da legislação federal e estadual;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VIII - definição das responsabilidades quanto à sua implementação e operacionalização, incluídas as etapas do plano de gerenciamento de resíduos sólidos a que se refere o art. 20 a cargo do poder público;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IX - programas e ações de capacitação técnica voltados para sua implementação e operacionalização;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 - programas e ações de educação ambiental que promovam a não geração, a redução, a reutilização e a reciclagem de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 - programas e ações para a participação dos grupos interessados, em especial das cooperativas ou outras formas de associação de catadores de materiais reutilizáveis e recicláveis formadas por pessoas físicas de baixa renda, se houver;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XII - mecanismos para a criação de fontes de negócios, emprego e renda, mediante a valorização dos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XIII - sistema de cálculo dos custos da prestação dos serviços públicos de limpeza urbana e de manejo de resíduos sólidos, bem como a forma de cobrança desses serviços, observada a Lei nº 11.445, de 2007;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XIV - metas de redução, reutilização, coleta seletiva e reciclagem, entre outras, com vistas a reduzir a quantidade de rejeitos encaminhados para disposição final ambientalmente adequada;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XV - descrição das formas e dos limites da participação do poder público local na coleta seletiva e na logística reversa, respeitado o disposto no art. 33, e de outras ações relativas à responsabilidade compartilhada pelo ciclo de vida dos produtos;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XVI - meios a serem utilizados para o controle e a fiscalização, no âmbito local, da implementação e operacionalização dos planos de gerenciamento de resíduos sólidos de que trata o art. 20 e dos sistemas de logística reversa previstos no art. 33;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XVII - ações preventivas e corretivas a serem praticadas, incluindo programa de monitoramento;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XVIII - identificação dos passivos ambientais relacionados aos resíduos sólidos, incluindo áreas contaminadas, e respectivas medidas saneadoras;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lastRenderedPageBreak/>
        <w:t xml:space="preserve">XIX - periodicidade de sua revisão, observado prioritariamente o período de vigência do plano plurianual municipal.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O plano municipal de gestão integrada de resíduos sólidos pode estar inserido no plano de saneamento básico previsto no art. 19 da Lei nº 11.445, de 2007, respeitado o conteúdo mínimo previsto nos incisos do caput e observado o disposto no § 2º, todos deste artigo.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2º Para Municípios com menos de 20.000 (vinte mil) habitantes, o plano municipal de gestão integrada de resíduos sólidos terá conteúdo simplificado, na forma do regulamento.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3º O disposto no § 2º não se aplica a Municípios: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integrantes de áreas de especial interesse turístico;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inseridos na área de influência de empreendimentos ou atividades com significativo impacto ambiental de âmbito regional ou nacional;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III - cujo território abranja, total ou parcialmente, Unidades de Conservação.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4º A existência de plano municipal de gestão integrada de resíduos sólidos não exime o Município ou o Distrito Federal do licenciamento ambiental de aterros sanitários e de outras infraestruturas e instalações operacionais integrantes do serviço público de limpeza urbana e de manejo de resíduos sólidos pelo órgão competente do Sisnama.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5º Na definição de responsabilidades na forma do inciso VIII do caput deste artigo, é vedado atribuir ao serviço público de limpeza urbana e de manejo de resíduos sólidos a realização de etapas do gerenciamento dos resíduos a que se refere o art. 20 em desacordo com a respectiva licença ambiental ou com normas estabelecidas pelos órgãos do Sisnama e, se couber, do SNVS.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6º Além do disposto nos incisos I a XIX do caput deste artigo, o plano municipal de gestão integrada de resíduos sólidos contemplará ações específicas a serem desenvolvidas no âmbito dos órgãos da administração pública, com vistas à utilização racional dos recursos ambientais, ao combate a todas as formas de desperdício e à minimização da geração de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7º O conteúdo do plano municipal de gestão integrada de resíduos sólidos será disponibilizado para o Sinir, na forma do regulamento.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8º A inexistência do plano municipal de gestão integrada de resíduos sólidos não pode ser utilizada para impedir a instalação ou a operação de empreendimentos ou atividades devidamente licenciados pelos órgãos competentes.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9º Nos termos do regulamento, o Município que optar por soluções consorciadas intermunicipais para a gestão dos resíduos sólidos, assegurado que o plano intermunicipal preencha os requisitos estabelecidos nos incisos I a XIX do caput deste artigo, pode ser dispensado da elaboração de plano municipal de gestão integrada de resíduos sólidos. </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CAPÍTULO III</w:t>
      </w: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DAS RESPONSABILIDADES DOS GERADORES E DO PODER PÚBLICO</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Seção II</w:t>
      </w:r>
    </w:p>
    <w:p w:rsidR="006A7C40" w:rsidRPr="006A7C40" w:rsidRDefault="006A7C40" w:rsidP="006A7C40">
      <w:pPr>
        <w:jc w:val="center"/>
        <w:rPr>
          <w:rFonts w:ascii="Times New Roman" w:eastAsia="Times New Roman" w:hAnsi="Times New Roman" w:cs="Times New Roman"/>
          <w:b/>
          <w:sz w:val="24"/>
          <w:szCs w:val="24"/>
          <w:lang w:eastAsia="pt-BR"/>
        </w:rPr>
      </w:pPr>
      <w:r w:rsidRPr="006A7C40">
        <w:rPr>
          <w:rFonts w:ascii="Times New Roman" w:eastAsia="Times New Roman" w:hAnsi="Times New Roman" w:cs="Times New Roman"/>
          <w:b/>
          <w:sz w:val="24"/>
          <w:szCs w:val="24"/>
          <w:lang w:eastAsia="pt-BR"/>
        </w:rPr>
        <w:t>Da Responsabilidade Compartilhada</w:t>
      </w:r>
    </w:p>
    <w:p w:rsidR="006A7C40" w:rsidRPr="006A7C40" w:rsidRDefault="006A7C40" w:rsidP="006A7C40">
      <w:pPr>
        <w:jc w:val="left"/>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33. São obrigados a estruturar e implementar sistemas de logística reversa, mediante retorno dos produtos após o uso pelo consumidor, de forma independente do serviço </w:t>
      </w:r>
      <w:r w:rsidRPr="006A7C40">
        <w:rPr>
          <w:rFonts w:ascii="Times New Roman" w:eastAsia="Times New Roman" w:hAnsi="Times New Roman" w:cs="Times New Roman"/>
          <w:sz w:val="24"/>
          <w:szCs w:val="24"/>
          <w:lang w:eastAsia="pt-BR"/>
        </w:rPr>
        <w:lastRenderedPageBreak/>
        <w:t xml:space="preserve">público de limpeza urbana e de manejo dos resíduos sólidos, os fabricantes, importadores, distribuidores e comerciantes de: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agrotóxicos, seus resíduos e embalagens, assim como outros produtos cuja embalagem, após o uso, constitua resíduo perigoso, observadas as regras de gerenciamento de resíduos perigosos previstas em lei ou regulamento, em normas estabelecidas pelos órgãos do Sisnama, do SNVS e do Suasa, ou em normas técnicas;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pilhas e baterias;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III - pneus;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IV - óleos lubrificantes, seus resíduos e embalagens;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 - lâmpadas fluorescentes, de vapor de sódio e mercúrio e de luz mista;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VI - produtos eletroeletrônicos e seus componentes.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Na forma do disposto em regulamento ou em acordos setoriais e termos de compromisso firmados entre o poder público e o setor empresarial, os sistemas previstos no caput serão estendidos a produtos comercializados em embalagens plásticas, metálicas ou de vidro, e aos demais produtos e embalagens, considerando, prioritariamente, o grau e a extensão do impacto à saúde pública e ao meio ambiente dos resíduos gerados.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2º A definição dos produtos e embalagens a que se refere o § 1º considerará a viabilidade técnica e econômica da logística reversa, bem como o grau e a extensão do impacto à saúde pública e ao meio ambiente dos resíduos gerados.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3º Sem prejuízo de exigências específicas fixadas em lei ou regulamento, em normas estabelecidas pelos órgãos do Sisnama e do SNVS, ou em acordos setoriais e termos de compromisso firmados entre o poder público e o setor empresarial, cabe aos fabricantes, importadores, distribuidores e comerciantes dos produtos a que se referem os incisos II, III, V e VI ou dos produtos e embalagens a que se referem os incisos I e IV do caput e o § 1º tomar todas as medidas necessárias para assegurar a implementação e operacionalização do sistema de logística reversa sob seu encargo, consoante o estabelecido neste artigo, podendo, entre outras medidas: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implantar procedimentos de compra de produtos ou embalagens usados;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disponibilizar postos de entrega de resíduos reutilizáveis e recicláveis;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III - atuar em parceria com cooperativas ou outras formas de associação de catadores de materiais reutilizáveis e recicláveis, nos casos de que trata o § 1º.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4º Os consumidores deverão efetuar a devolução após o uso, aos comerciantes ou distribuidores, dos produtos e das embalagens a que se referem os incisos I a VI do caput, e de outros produtos ou embalagens objeto de logística reversa, na forma do § 1º.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5º Os comerciantes e distribuidores deverão efetuar a devolução aos fabricantes ou aos importadores dos produtos e embalagens reunidos ou devolvidos na forma dos §§ 3º e 4º.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6º Os fabricantes e os importadores darão destinação ambientalmente adequada aos produtos e às embalagens reunidos ou devolvidos, sendo o rejeito encaminhado para a disposição final ambientalmente adequada, na forma estabelecida pelo órgão competente do Sisnama e, se houver, pelo plano municipal de gestão integrada de resíduos sólidos.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7º Se o titular do serviço público de limpeza urbana e de manejo de resíduos sólidos, por acordo setorial ou termo de compromisso firmado com o setor empresarial, encarregar-se de atividades de responsabilidade dos fabricantes, importadores, distribuidores e comerciantes nos sistemas de logística reversa dos produtos e embalagens a que se refere este artigo, as ações do poder público serão devidamente remuneradas, na forma previamente acordada entre as partes.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8º Com exceção dos consumidores, todos os participantes dos sistemas de logística reversa manterão atualizadas e disponíveis ao órgão municipal competente e a outras autoridades informações completas sobre a realização das ações sob sua responsabilidade.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34. Os acordos setoriais ou termos de compromisso referidos no inciso IV do caput do art. 31 e no § 1º do art. 33 podem ter abrangência nacional, regional, estadual ou municipal.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Os acordos setoriais e termos de compromisso firmados em âmbito nacional têm prevalência sobre os firmados em âmbito regional ou estadual, e estes sobre os firmados em âmbito municipal.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2º Na aplicação de regras concorrentes consoante o § 1º, os acordos firmados com menor abrangência geográfica podem ampliar, mas não abrandar, as medidas de proteção ambiental constantes nos acordos setoriais e termos de compromisso firmados com maior abrangência geográfica.</w:t>
      </w:r>
    </w:p>
    <w:p w:rsidR="006A7C40" w:rsidRPr="006A7C40" w:rsidRDefault="006A7C40" w:rsidP="006A7C40">
      <w:pP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TÍTULO IV</w:t>
      </w:r>
    </w:p>
    <w:p w:rsidR="006A7C40" w:rsidRPr="006A7C40" w:rsidRDefault="006A7C40" w:rsidP="006A7C40">
      <w:pPr>
        <w:jc w:val="center"/>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DISPOSIÇÕES TRANSITÓRIAS E FINAIS</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50. A inexistência do regulamento previsto no § 3º do art. 21 não obsta a atuação, nos termos desta Lei, das cooperativas ou outras formas de associação de catadores de materiais reutilizáveis e recicláveis.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51. Sem prejuízo da obrigação de, independentemente da existência de culpa, reparar os danos causados, a ação ou omissão das pessoas físicas ou jurídicas que importe inobservância aos preceitos desta Lei ou de seu regulamento sujeita os infratores às sanções previstas em lei, em especial às fixadas na Lei nº 9.605, de 12 de fevereiro de 1998, que "dispõe sobre as sanções penais e administrativas derivadas de condutas e atividades lesivas ao meio ambiente, e dá outras providências", e em seu regulamento.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52. A observância do disposto no caput do art. 23 e no § 2º do art. 39 desta Lei é considerada obrigação de relevante interesse ambiental para efeitos do art. 68 da Lei nº 9.605, de 1998, sem prejuízo da aplicação de outras sanções cabíveis nas esferas penal e administrativa.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Art. 53. O § 1º do art. 56 da Lei nº 9.605, de 12 de fevereiro de 1998, passa a vigorar com a seguinte redação:</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left="1701"/>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56. ................................................................................... </w:t>
      </w:r>
    </w:p>
    <w:p w:rsidR="006A7C40" w:rsidRPr="006A7C40" w:rsidRDefault="006A7C40" w:rsidP="006A7C40">
      <w:pPr>
        <w:ind w:left="1701"/>
        <w:rPr>
          <w:rFonts w:ascii="Times New Roman" w:eastAsia="Times New Roman" w:hAnsi="Times New Roman" w:cs="Times New Roman"/>
          <w:sz w:val="24"/>
          <w:szCs w:val="24"/>
          <w:lang w:eastAsia="pt-BR"/>
        </w:rPr>
      </w:pPr>
    </w:p>
    <w:p w:rsidR="006A7C40" w:rsidRPr="006A7C40" w:rsidRDefault="006A7C40" w:rsidP="006A7C40">
      <w:pPr>
        <w:ind w:left="1701"/>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 1º Nas mesmas penas incorre quem: </w:t>
      </w:r>
    </w:p>
    <w:p w:rsidR="006A7C40" w:rsidRPr="006A7C40" w:rsidRDefault="006A7C40" w:rsidP="006A7C40">
      <w:pPr>
        <w:ind w:left="1701"/>
        <w:rPr>
          <w:rFonts w:ascii="Times New Roman" w:eastAsia="Times New Roman" w:hAnsi="Times New Roman" w:cs="Times New Roman"/>
          <w:sz w:val="24"/>
          <w:szCs w:val="24"/>
          <w:lang w:eastAsia="pt-BR"/>
        </w:rPr>
      </w:pPr>
    </w:p>
    <w:p w:rsidR="006A7C40" w:rsidRPr="006A7C40" w:rsidRDefault="006A7C40" w:rsidP="006A7C40">
      <w:pPr>
        <w:ind w:left="1701"/>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 - abandona os produtos ou substâncias referidos no caput ou os utiliza em desacordo com as normas ambientais ou de segurança; </w:t>
      </w:r>
    </w:p>
    <w:p w:rsidR="006A7C40" w:rsidRPr="006A7C40" w:rsidRDefault="006A7C40" w:rsidP="006A7C40">
      <w:pPr>
        <w:ind w:left="1701"/>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II - manipula, acondiciona, armazena, coleta, transporta, reutiliza, recicla ou dá destinação final a resíduos perigosos de forma diversa da estabelecida em lei ou regulamento. </w:t>
      </w:r>
    </w:p>
    <w:p w:rsidR="006A7C40" w:rsidRPr="006A7C40" w:rsidRDefault="006A7C40" w:rsidP="006A7C40">
      <w:pPr>
        <w:ind w:left="1701"/>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(NR)</w:t>
      </w:r>
    </w:p>
    <w:p w:rsidR="006A7C40" w:rsidRPr="006A7C40" w:rsidRDefault="006A7C40" w:rsidP="006A7C40">
      <w:pPr>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54. A disposição final ambientalmente adequada dos rejeitos, observado o disposto no § 1º do art. 9º, deverá ser implantada em até 4 (quatro) anos após a data de publicação desta Lei.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lastRenderedPageBreak/>
        <w:t xml:space="preserve">Art. 55. O disposto nos arts. 16 e 18 entra em vigor 2 (dois) anos após a data de publicação desta Lei.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56. A logística reversa relativa aos produtos de que tratam os incisos V e VI do caput do art. 33 será implementada progressivamente segundo cronograma estabelecido em regulamento.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Art. 57. Esta Lei entra em vigor na data de sua publicação.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Brasília, 2 de agosto de 2010; 189º da Independência e 122º da República. </w:t>
      </w:r>
    </w:p>
    <w:p w:rsidR="006A7C40" w:rsidRPr="006A7C40" w:rsidRDefault="006A7C40" w:rsidP="006A7C40">
      <w:pPr>
        <w:ind w:firstLine="1134"/>
        <w:rPr>
          <w:rFonts w:ascii="Times New Roman" w:eastAsia="Times New Roman" w:hAnsi="Times New Roman" w:cs="Times New Roman"/>
          <w:sz w:val="24"/>
          <w:szCs w:val="24"/>
          <w:lang w:eastAsia="pt-BR"/>
        </w:rPr>
      </w:pP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LUIZ INÁCIO LULA DA SILVA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Rafael Thomaz Favetti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Guido Mantega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José Gomes Temporão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Miguel Jorge</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Izabella Mônica Vieira Teixeira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João Reis Santana Filho </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Marcio Fortes de Almeida</w:t>
      </w:r>
    </w:p>
    <w:p w:rsidR="006A7C40" w:rsidRPr="006A7C40" w:rsidRDefault="006A7C40" w:rsidP="006A7C40">
      <w:pPr>
        <w:ind w:firstLine="1134"/>
        <w:rPr>
          <w:rFonts w:ascii="Times New Roman" w:eastAsia="Times New Roman" w:hAnsi="Times New Roman" w:cs="Times New Roman"/>
          <w:sz w:val="24"/>
          <w:szCs w:val="24"/>
          <w:lang w:eastAsia="pt-BR"/>
        </w:rPr>
      </w:pPr>
      <w:r w:rsidRPr="006A7C40">
        <w:rPr>
          <w:rFonts w:ascii="Times New Roman" w:eastAsia="Times New Roman" w:hAnsi="Times New Roman" w:cs="Times New Roman"/>
          <w:sz w:val="24"/>
          <w:szCs w:val="24"/>
          <w:lang w:eastAsia="pt-BR"/>
        </w:rPr>
        <w:t xml:space="preserve">Alexandre Rocha Santos Padilha </w:t>
      </w:r>
    </w:p>
    <w:p w:rsidR="006A7C40" w:rsidRPr="006A7C40" w:rsidRDefault="006A7C40" w:rsidP="006A7C40">
      <w:pPr>
        <w:rPr>
          <w:rFonts w:ascii="Times New Roman" w:eastAsia="Times New Roman" w:hAnsi="Times New Roman" w:cs="Times New Roman"/>
          <w:sz w:val="24"/>
          <w:szCs w:val="24"/>
          <w:lang w:eastAsia="pt-BR"/>
        </w:rPr>
      </w:pPr>
    </w:p>
    <w:p w:rsidR="006A7C40" w:rsidRDefault="006A7C40" w:rsidP="006A7C40">
      <w:pPr>
        <w:jc w:val="center"/>
        <w:rPr>
          <w:b/>
          <w:sz w:val="24"/>
        </w:rPr>
      </w:pPr>
      <w:bookmarkStart w:id="12" w:name="z996642_FIMDOCUMENTO"/>
      <w:bookmarkEnd w:id="1"/>
      <w:bookmarkEnd w:id="11"/>
    </w:p>
    <w:p w:rsidR="006A7C40" w:rsidRPr="006A7C40" w:rsidRDefault="006A7C40" w:rsidP="006A7C40">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6A7C40" w:rsidRPr="006A7C40" w:rsidSect="006A7C40">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ACA" w:rsidRDefault="00B16ACA" w:rsidP="006A7C40">
      <w:r>
        <w:separator/>
      </w:r>
    </w:p>
  </w:endnote>
  <w:endnote w:type="continuationSeparator" w:id="0">
    <w:p w:rsidR="00B16ACA" w:rsidRDefault="00B16ACA" w:rsidP="006A7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40" w:rsidRDefault="006A7C40" w:rsidP="006A7C4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6A7C40" w:rsidRDefault="006A7C40" w:rsidP="006A7C40">
    <w:pPr>
      <w:pStyle w:val="Rodap"/>
      <w:jc w:val="center"/>
      <w:rPr>
        <w:rFonts w:ascii="Courier New" w:hAnsi="Courier New" w:cs="Courier New"/>
      </w:rPr>
    </w:pPr>
    <w:r>
      <w:rPr>
        <w:rFonts w:ascii="Courier New" w:hAnsi="Courier New" w:cs="Courier New"/>
      </w:rPr>
      <w:t>CONFERE COM O ORIGINAL AUTENTICADO</w:t>
    </w:r>
  </w:p>
  <w:p w:rsidR="006A7C40" w:rsidRPr="006A7C40" w:rsidRDefault="006A7C40" w:rsidP="006A7C40">
    <w:pPr>
      <w:pStyle w:val="Rodap"/>
      <w:jc w:val="center"/>
    </w:pPr>
    <w:r>
      <w:t>PL 679/2015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40" w:rsidRDefault="006A7C40" w:rsidP="006A7C4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6A7C40" w:rsidRDefault="006A7C40" w:rsidP="006A7C40">
    <w:pPr>
      <w:pStyle w:val="Rodap"/>
      <w:jc w:val="center"/>
      <w:rPr>
        <w:rFonts w:ascii="Courier New" w:hAnsi="Courier New" w:cs="Courier New"/>
      </w:rPr>
    </w:pPr>
    <w:r>
      <w:rPr>
        <w:rFonts w:ascii="Courier New" w:hAnsi="Courier New" w:cs="Courier New"/>
      </w:rPr>
      <w:t>CONFERE COM O ORIGINAL AUTENTICADO</w:t>
    </w:r>
  </w:p>
  <w:p w:rsidR="006A7C40" w:rsidRPr="006A7C40" w:rsidRDefault="006A7C40" w:rsidP="006A7C40">
    <w:pPr>
      <w:pStyle w:val="Rodap"/>
      <w:jc w:val="center"/>
    </w:pPr>
    <w:r>
      <w:t>PL 679/2015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40" w:rsidRDefault="006A7C40" w:rsidP="006A7C4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6A7C40" w:rsidRPr="006A7C40" w:rsidRDefault="006A7C40" w:rsidP="006A7C4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ACA" w:rsidRDefault="00B16ACA" w:rsidP="006A7C40">
      <w:r>
        <w:separator/>
      </w:r>
    </w:p>
  </w:footnote>
  <w:footnote w:type="continuationSeparator" w:id="0">
    <w:p w:rsidR="00B16ACA" w:rsidRDefault="00B16ACA" w:rsidP="006A7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40" w:rsidRPr="006A7C40" w:rsidRDefault="006A7C40" w:rsidP="006A7C40">
    <w:pPr>
      <w:pStyle w:val="Cabealho"/>
      <w:jc w:val="left"/>
    </w:pPr>
    <w:r>
      <w:fldChar w:fldCharType="begin"/>
    </w:r>
    <w:r>
      <w:instrText xml:space="preserve"> PAGE  \* Arabic  \* MERGEFORMAT </w:instrText>
    </w:r>
    <w:r>
      <w:fldChar w:fldCharType="separate"/>
    </w:r>
    <w:r w:rsidR="004335D5">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40" w:rsidRPr="006A7C40" w:rsidRDefault="006A7C40" w:rsidP="006A7C40">
    <w:pPr>
      <w:pStyle w:val="Cabealho"/>
      <w:jc w:val="right"/>
    </w:pPr>
    <w:r>
      <w:fldChar w:fldCharType="begin"/>
    </w:r>
    <w:r>
      <w:instrText xml:space="preserve"> PAGE  \* Arabic  \* MERGEFORMAT </w:instrText>
    </w:r>
    <w:r>
      <w:fldChar w:fldCharType="separate"/>
    </w:r>
    <w:r w:rsidR="004335D5">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C40"/>
    <w:rsid w:val="001E4449"/>
    <w:rsid w:val="004335D5"/>
    <w:rsid w:val="00453123"/>
    <w:rsid w:val="006A7C40"/>
    <w:rsid w:val="007E74C9"/>
    <w:rsid w:val="00B16A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A7C40"/>
    <w:rPr>
      <w:rFonts w:ascii="Tahoma" w:hAnsi="Tahoma" w:cs="Tahoma"/>
      <w:sz w:val="16"/>
      <w:szCs w:val="16"/>
    </w:rPr>
  </w:style>
  <w:style w:type="character" w:customStyle="1" w:styleId="TextodebaloChar">
    <w:name w:val="Texto de balão Char"/>
    <w:basedOn w:val="Fontepargpadro"/>
    <w:link w:val="Textodebalo"/>
    <w:uiPriority w:val="99"/>
    <w:semiHidden/>
    <w:rsid w:val="006A7C40"/>
    <w:rPr>
      <w:rFonts w:ascii="Tahoma" w:hAnsi="Tahoma" w:cs="Tahoma"/>
      <w:sz w:val="16"/>
      <w:szCs w:val="16"/>
    </w:rPr>
  </w:style>
  <w:style w:type="paragraph" w:styleId="Cabealho">
    <w:name w:val="header"/>
    <w:basedOn w:val="Normal"/>
    <w:link w:val="CabealhoChar"/>
    <w:uiPriority w:val="99"/>
    <w:unhideWhenUsed/>
    <w:rsid w:val="006A7C40"/>
    <w:pPr>
      <w:tabs>
        <w:tab w:val="center" w:pos="4252"/>
        <w:tab w:val="right" w:pos="8504"/>
      </w:tabs>
    </w:pPr>
  </w:style>
  <w:style w:type="character" w:customStyle="1" w:styleId="CabealhoChar">
    <w:name w:val="Cabeçalho Char"/>
    <w:basedOn w:val="Fontepargpadro"/>
    <w:link w:val="Cabealho"/>
    <w:uiPriority w:val="99"/>
    <w:rsid w:val="006A7C40"/>
    <w:rPr>
      <w:rFonts w:ascii="Arial" w:hAnsi="Arial" w:cs="Arial"/>
      <w:sz w:val="20"/>
    </w:rPr>
  </w:style>
  <w:style w:type="paragraph" w:styleId="Rodap">
    <w:name w:val="footer"/>
    <w:basedOn w:val="Normal"/>
    <w:link w:val="RodapChar"/>
    <w:uiPriority w:val="99"/>
    <w:unhideWhenUsed/>
    <w:rsid w:val="006A7C40"/>
    <w:pPr>
      <w:tabs>
        <w:tab w:val="center" w:pos="4252"/>
        <w:tab w:val="right" w:pos="8504"/>
      </w:tabs>
    </w:pPr>
  </w:style>
  <w:style w:type="character" w:customStyle="1" w:styleId="RodapChar">
    <w:name w:val="Rodapé Char"/>
    <w:basedOn w:val="Fontepargpadro"/>
    <w:link w:val="Rodap"/>
    <w:uiPriority w:val="99"/>
    <w:rsid w:val="006A7C40"/>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A7C40"/>
    <w:rPr>
      <w:rFonts w:ascii="Tahoma" w:hAnsi="Tahoma" w:cs="Tahoma"/>
      <w:sz w:val="16"/>
      <w:szCs w:val="16"/>
    </w:rPr>
  </w:style>
  <w:style w:type="character" w:customStyle="1" w:styleId="TextodebaloChar">
    <w:name w:val="Texto de balão Char"/>
    <w:basedOn w:val="Fontepargpadro"/>
    <w:link w:val="Textodebalo"/>
    <w:uiPriority w:val="99"/>
    <w:semiHidden/>
    <w:rsid w:val="006A7C40"/>
    <w:rPr>
      <w:rFonts w:ascii="Tahoma" w:hAnsi="Tahoma" w:cs="Tahoma"/>
      <w:sz w:val="16"/>
      <w:szCs w:val="16"/>
    </w:rPr>
  </w:style>
  <w:style w:type="paragraph" w:styleId="Cabealho">
    <w:name w:val="header"/>
    <w:basedOn w:val="Normal"/>
    <w:link w:val="CabealhoChar"/>
    <w:uiPriority w:val="99"/>
    <w:unhideWhenUsed/>
    <w:rsid w:val="006A7C40"/>
    <w:pPr>
      <w:tabs>
        <w:tab w:val="center" w:pos="4252"/>
        <w:tab w:val="right" w:pos="8504"/>
      </w:tabs>
    </w:pPr>
  </w:style>
  <w:style w:type="character" w:customStyle="1" w:styleId="CabealhoChar">
    <w:name w:val="Cabeçalho Char"/>
    <w:basedOn w:val="Fontepargpadro"/>
    <w:link w:val="Cabealho"/>
    <w:uiPriority w:val="99"/>
    <w:rsid w:val="006A7C40"/>
    <w:rPr>
      <w:rFonts w:ascii="Arial" w:hAnsi="Arial" w:cs="Arial"/>
      <w:sz w:val="20"/>
    </w:rPr>
  </w:style>
  <w:style w:type="paragraph" w:styleId="Rodap">
    <w:name w:val="footer"/>
    <w:basedOn w:val="Normal"/>
    <w:link w:val="RodapChar"/>
    <w:uiPriority w:val="99"/>
    <w:unhideWhenUsed/>
    <w:rsid w:val="006A7C40"/>
    <w:pPr>
      <w:tabs>
        <w:tab w:val="center" w:pos="4252"/>
        <w:tab w:val="right" w:pos="8504"/>
      </w:tabs>
    </w:pPr>
  </w:style>
  <w:style w:type="character" w:customStyle="1" w:styleId="RodapChar">
    <w:name w:val="Rodapé Char"/>
    <w:basedOn w:val="Fontepargpadro"/>
    <w:link w:val="Rodap"/>
    <w:uiPriority w:val="99"/>
    <w:rsid w:val="006A7C40"/>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3637</Words>
  <Characters>20368</Characters>
  <Application>Microsoft Office Word</Application>
  <DocSecurity>0</DocSecurity>
  <Lines>415</Lines>
  <Paragraphs>186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2015-03-20T17:32:00Z</dcterms:created>
  <dcterms:modified xsi:type="dcterms:W3CDTF">2015-03-20T21:31:00Z</dcterms:modified>
</cp:coreProperties>
</file>