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15C" w:rsidRDefault="00DC62D2" w:rsidP="00EA7B05">
      <w:pPr>
        <w:jc w:val="center"/>
      </w:pPr>
      <w:bookmarkStart w:id="0" w:name="z996276_BRASAO"/>
      <w:bookmarkStart w:id="1" w:name="z996276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DC62D2" w:rsidRPr="00DC62D2" w:rsidRDefault="00DC62D2">
                            <w:pPr>
                              <w:rPr>
                                <w:rFonts w:ascii="Times New Roman" w:hAnsi="Times New Roman" w:cs="Times New Roman"/>
                                <w:sz w:val="34"/>
                              </w:rPr>
                            </w:pPr>
                            <w:r w:rsidRPr="00DC62D2">
                              <w:rPr>
                                <w:rFonts w:ascii="3 of 9 Barcode" w:hAnsi="3 of 9 Barcode"/>
                                <w:sz w:val="34"/>
                              </w:rPr>
                              <w:t>*C0051691A*</w:t>
                            </w:r>
                            <w:bookmarkStart w:id="2" w:name="_GoBack"/>
                          </w:p>
                          <w:bookmarkEnd w:id="2"/>
                          <w:p w:rsidR="00DC62D2" w:rsidRPr="00DC62D2" w:rsidRDefault="00DC62D2">
                            <w:pPr>
                              <w:rPr>
                                <w:rFonts w:ascii="Times New Roman" w:hAnsi="Times New Roman" w:cs="Times New Roman"/>
                              </w:rPr>
                            </w:pPr>
                            <w:r>
                              <w:rPr>
                                <w:rFonts w:ascii="Times New Roman" w:hAnsi="Times New Roman" w:cs="Times New Roman"/>
                              </w:rPr>
                              <w:t>C0051691A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DC62D2" w:rsidRPr="00DC62D2" w:rsidRDefault="00DC62D2">
                      <w:pPr>
                        <w:rPr>
                          <w:rFonts w:ascii="Times New Roman" w:hAnsi="Times New Roman" w:cs="Times New Roman"/>
                          <w:sz w:val="34"/>
                        </w:rPr>
                      </w:pPr>
                      <w:r w:rsidRPr="00DC62D2">
                        <w:rPr>
                          <w:rFonts w:ascii="3 of 9 Barcode" w:hAnsi="3 of 9 Barcode"/>
                          <w:sz w:val="34"/>
                        </w:rPr>
                        <w:t>*C0051691A*</w:t>
                      </w:r>
                      <w:bookmarkStart w:id="3" w:name="_GoBack"/>
                    </w:p>
                    <w:bookmarkEnd w:id="3"/>
                    <w:p w:rsidR="00DC62D2" w:rsidRPr="00DC62D2" w:rsidRDefault="00DC62D2">
                      <w:pPr>
                        <w:rPr>
                          <w:rFonts w:ascii="Times New Roman" w:hAnsi="Times New Roman" w:cs="Times New Roman"/>
                        </w:rPr>
                      </w:pPr>
                      <w:r>
                        <w:rPr>
                          <w:rFonts w:ascii="Times New Roman" w:hAnsi="Times New Roman" w:cs="Times New Roman"/>
                        </w:rPr>
                        <w:t>C0051691A</w:t>
                      </w:r>
                    </w:p>
                  </w:txbxContent>
                </v:textbox>
                <w10:wrap anchorx="page" anchory="page"/>
              </v:shape>
            </w:pict>
          </mc:Fallback>
        </mc:AlternateContent>
      </w:r>
      <w:r w:rsidR="00EA7B05">
        <w:rPr>
          <w:noProof/>
          <w:lang w:eastAsia="pt-BR"/>
        </w:rPr>
        <w:drawing>
          <wp:inline distT="0" distB="0" distL="0" distR="0" wp14:anchorId="0C6B52D7" wp14:editId="0C55B8BB">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EA7B05" w:rsidRDefault="00EA7B05" w:rsidP="00EA7B05">
      <w:pPr>
        <w:jc w:val="center"/>
        <w:rPr>
          <w:b/>
          <w:sz w:val="24"/>
        </w:rPr>
      </w:pPr>
      <w:r>
        <w:rPr>
          <w:b/>
          <w:sz w:val="24"/>
        </w:rPr>
        <w:t>CÂMARA DOS DEPUTADOS</w:t>
      </w:r>
    </w:p>
    <w:bookmarkEnd w:id="0"/>
    <w:p w:rsidR="00EA7B05" w:rsidRDefault="00EA7B05" w:rsidP="00EA7B05">
      <w:pPr>
        <w:rPr>
          <w:sz w:val="24"/>
        </w:rPr>
      </w:pPr>
    </w:p>
    <w:p w:rsidR="00EA7B05" w:rsidRDefault="00EA7B05" w:rsidP="00EA7B05">
      <w:pPr>
        <w:keepNext/>
        <w:keepLines/>
        <w:jc w:val="center"/>
        <w:rPr>
          <w:b/>
          <w:sz w:val="44"/>
        </w:rPr>
      </w:pPr>
      <w:bookmarkStart w:id="4" w:name="z996276_TITULO"/>
      <w:r>
        <w:rPr>
          <w:b/>
          <w:sz w:val="44"/>
        </w:rPr>
        <w:t>PROJETO DE LEI N.º 652, DE 2015</w:t>
      </w:r>
      <w:bookmarkEnd w:id="4"/>
    </w:p>
    <w:p w:rsidR="00EA7B05" w:rsidRDefault="00EA7B05" w:rsidP="00EA7B05">
      <w:pPr>
        <w:keepLines/>
        <w:jc w:val="center"/>
        <w:rPr>
          <w:b/>
          <w:sz w:val="28"/>
        </w:rPr>
      </w:pPr>
      <w:bookmarkStart w:id="5" w:name="z996276_AUTOR"/>
      <w:r>
        <w:rPr>
          <w:b/>
          <w:sz w:val="28"/>
        </w:rPr>
        <w:t>(Do Sr. Luiz Nishimori)</w:t>
      </w:r>
      <w:bookmarkEnd w:id="5"/>
    </w:p>
    <w:p w:rsidR="00EA7B05" w:rsidRDefault="00EA7B05" w:rsidP="00EA7B05">
      <w:pPr>
        <w:keepLines/>
        <w:jc w:val="center"/>
        <w:rPr>
          <w:b/>
          <w:sz w:val="28"/>
        </w:rPr>
      </w:pPr>
    </w:p>
    <w:p w:rsidR="00EA7B05" w:rsidRDefault="00EA7B05" w:rsidP="00EA7B05">
      <w:pPr>
        <w:rPr>
          <w:sz w:val="28"/>
        </w:rPr>
      </w:pPr>
      <w:bookmarkStart w:id="6" w:name="z996276_EMENTA"/>
      <w:r>
        <w:rPr>
          <w:sz w:val="28"/>
        </w:rPr>
        <w:t xml:space="preserve">Acrescenta o inciso IV ao art. 6º do Decreto-Lei nº 986, de 21 de outubro de 1969, para dispensar os suplementos e complementos nutricionais da obrigatoriedade de registro sanitário. </w:t>
      </w:r>
      <w:bookmarkEnd w:id="6"/>
    </w:p>
    <w:p w:rsidR="00EA7B05" w:rsidRDefault="00EA7B05" w:rsidP="00EA7B05">
      <w:pPr>
        <w:rPr>
          <w:sz w:val="28"/>
        </w:rPr>
      </w:pPr>
    </w:p>
    <w:p w:rsidR="00EA7B05" w:rsidRDefault="00EA7B05" w:rsidP="00EA7B05">
      <w:pPr>
        <w:pBdr>
          <w:top w:val="single" w:sz="4" w:space="1" w:color="auto"/>
          <w:left w:val="single" w:sz="4" w:space="4" w:color="auto"/>
          <w:bottom w:val="single" w:sz="4" w:space="1" w:color="auto"/>
          <w:right w:val="single" w:sz="4" w:space="4" w:color="auto"/>
        </w:pBdr>
        <w:rPr>
          <w:b/>
          <w:sz w:val="28"/>
        </w:rPr>
      </w:pPr>
      <w:bookmarkStart w:id="7" w:name="z996276_DESPACHO"/>
    </w:p>
    <w:p w:rsidR="00EA7B05" w:rsidRDefault="00EA7B05" w:rsidP="00EA7B05">
      <w:pPr>
        <w:pBdr>
          <w:top w:val="single" w:sz="4" w:space="1" w:color="auto"/>
          <w:left w:val="single" w:sz="4" w:space="4" w:color="auto"/>
          <w:bottom w:val="single" w:sz="4" w:space="1" w:color="auto"/>
          <w:right w:val="single" w:sz="4" w:space="4" w:color="auto"/>
        </w:pBdr>
        <w:rPr>
          <w:b/>
          <w:sz w:val="28"/>
        </w:rPr>
      </w:pPr>
      <w:r>
        <w:rPr>
          <w:b/>
          <w:sz w:val="28"/>
        </w:rPr>
        <w:t>DESPACHO:</w:t>
      </w:r>
    </w:p>
    <w:p w:rsidR="00CC7169" w:rsidRDefault="00EA7B05" w:rsidP="00EA7B05">
      <w:pPr>
        <w:pBdr>
          <w:top w:val="single" w:sz="4" w:space="1" w:color="auto"/>
          <w:left w:val="single" w:sz="4" w:space="4" w:color="auto"/>
          <w:bottom w:val="single" w:sz="4" w:space="1" w:color="auto"/>
          <w:right w:val="single" w:sz="4" w:space="4" w:color="auto"/>
        </w:pBdr>
        <w:rPr>
          <w:sz w:val="28"/>
        </w:rPr>
      </w:pPr>
      <w:r>
        <w:rPr>
          <w:sz w:val="28"/>
        </w:rPr>
        <w:t>ÀS COMISSÕES DE</w:t>
      </w:r>
      <w:r w:rsidR="00CC7169">
        <w:rPr>
          <w:sz w:val="28"/>
        </w:rPr>
        <w:t>:</w:t>
      </w:r>
    </w:p>
    <w:p w:rsidR="00CC7169" w:rsidRDefault="00EA7B05" w:rsidP="00EA7B05">
      <w:pPr>
        <w:pBdr>
          <w:top w:val="single" w:sz="4" w:space="1" w:color="auto"/>
          <w:left w:val="single" w:sz="4" w:space="4" w:color="auto"/>
          <w:bottom w:val="single" w:sz="4" w:space="1" w:color="auto"/>
          <w:right w:val="single" w:sz="4" w:space="4" w:color="auto"/>
        </w:pBdr>
        <w:rPr>
          <w:sz w:val="28"/>
        </w:rPr>
      </w:pPr>
      <w:r>
        <w:rPr>
          <w:sz w:val="28"/>
        </w:rPr>
        <w:t>SEGURIDADE SOCIAL E FAMÍLIA</w:t>
      </w:r>
      <w:r w:rsidR="00CC7169">
        <w:rPr>
          <w:sz w:val="28"/>
        </w:rPr>
        <w:t>;</w:t>
      </w:r>
      <w:r>
        <w:rPr>
          <w:sz w:val="28"/>
        </w:rPr>
        <w:t xml:space="preserve"> E </w:t>
      </w:r>
    </w:p>
    <w:p w:rsidR="00EA7B05" w:rsidRDefault="00EA7B05" w:rsidP="00EA7B05">
      <w:pPr>
        <w:pBdr>
          <w:top w:val="single" w:sz="4" w:space="1" w:color="auto"/>
          <w:left w:val="single" w:sz="4" w:space="4" w:color="auto"/>
          <w:bottom w:val="single" w:sz="4" w:space="1" w:color="auto"/>
          <w:right w:val="single" w:sz="4" w:space="4" w:color="auto"/>
        </w:pBdr>
        <w:rPr>
          <w:sz w:val="28"/>
        </w:rPr>
      </w:pPr>
      <w:r>
        <w:rPr>
          <w:sz w:val="28"/>
        </w:rPr>
        <w:t xml:space="preserve">CONSTITUIÇÃO E JUSTIÇA E DE CIDADANIA (ART. 54 RICD) </w:t>
      </w:r>
    </w:p>
    <w:p w:rsidR="00CC7169" w:rsidRDefault="00CC7169" w:rsidP="00EA7B05">
      <w:pPr>
        <w:pBdr>
          <w:top w:val="single" w:sz="4" w:space="1" w:color="auto"/>
          <w:left w:val="single" w:sz="4" w:space="4" w:color="auto"/>
          <w:bottom w:val="single" w:sz="4" w:space="1" w:color="auto"/>
          <w:right w:val="single" w:sz="4" w:space="4" w:color="auto"/>
        </w:pBdr>
        <w:rPr>
          <w:sz w:val="28"/>
        </w:rPr>
      </w:pPr>
    </w:p>
    <w:p w:rsidR="00EA7B05" w:rsidRDefault="00EA7B05" w:rsidP="00EA7B05">
      <w:pPr>
        <w:pBdr>
          <w:top w:val="single" w:sz="4" w:space="1" w:color="auto"/>
          <w:left w:val="single" w:sz="4" w:space="4" w:color="auto"/>
          <w:bottom w:val="single" w:sz="4" w:space="1" w:color="auto"/>
          <w:right w:val="single" w:sz="4" w:space="4" w:color="auto"/>
        </w:pBdr>
        <w:rPr>
          <w:b/>
          <w:sz w:val="28"/>
        </w:rPr>
      </w:pPr>
      <w:bookmarkStart w:id="8" w:name="z996276_APRECIACAO"/>
      <w:bookmarkEnd w:id="7"/>
      <w:r>
        <w:rPr>
          <w:b/>
          <w:sz w:val="28"/>
        </w:rPr>
        <w:t>APRECIAÇÃO:</w:t>
      </w:r>
    </w:p>
    <w:p w:rsidR="00EA7B05" w:rsidRDefault="00EA7B05" w:rsidP="00EA7B05">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EA7B05" w:rsidRDefault="00EA7B05" w:rsidP="00EA7B05">
      <w:pPr>
        <w:pBdr>
          <w:top w:val="single" w:sz="4" w:space="1" w:color="auto"/>
          <w:left w:val="single" w:sz="4" w:space="4" w:color="auto"/>
          <w:bottom w:val="single" w:sz="4" w:space="1" w:color="auto"/>
          <w:right w:val="single" w:sz="4" w:space="4" w:color="auto"/>
        </w:pBdr>
        <w:rPr>
          <w:sz w:val="28"/>
        </w:rPr>
      </w:pPr>
    </w:p>
    <w:bookmarkEnd w:id="8"/>
    <w:p w:rsidR="00EA7B05" w:rsidRDefault="00EA7B05" w:rsidP="00EA7B05">
      <w:pPr>
        <w:rPr>
          <w:sz w:val="28"/>
        </w:rPr>
      </w:pPr>
    </w:p>
    <w:p w:rsidR="00EA7B05" w:rsidRDefault="00EA7B05" w:rsidP="00EA7B05">
      <w:pPr>
        <w:jc w:val="center"/>
        <w:rPr>
          <w:b/>
          <w:sz w:val="28"/>
        </w:rPr>
      </w:pPr>
      <w:bookmarkStart w:id="9" w:name="z996276_PUBINICIAL"/>
      <w:r>
        <w:rPr>
          <w:b/>
          <w:sz w:val="28"/>
        </w:rPr>
        <w:t>PUBLICAÇÃO INICIAL</w:t>
      </w:r>
    </w:p>
    <w:p w:rsidR="00EA7B05" w:rsidRDefault="00EA7B05" w:rsidP="00EA7B05">
      <w:pPr>
        <w:jc w:val="center"/>
        <w:rPr>
          <w:b/>
        </w:rPr>
      </w:pPr>
      <w:r>
        <w:rPr>
          <w:b/>
        </w:rPr>
        <w:t>Art. 137, caput - RICD</w:t>
      </w:r>
    </w:p>
    <w:p w:rsidR="00EA7B05" w:rsidRDefault="00EA7B05">
      <w:pPr>
        <w:spacing w:after="200" w:line="276" w:lineRule="auto"/>
        <w:jc w:val="left"/>
        <w:rPr>
          <w:b/>
        </w:rPr>
      </w:pPr>
      <w:r>
        <w:rPr>
          <w:b/>
        </w:rPr>
        <w:br w:type="page"/>
      </w:r>
    </w:p>
    <w:bookmarkEnd w:id="9"/>
    <w:p w:rsidR="00EA7B05" w:rsidRDefault="00EA7B05" w:rsidP="00EA7B05">
      <w:pPr>
        <w:rPr>
          <w:b/>
        </w:rPr>
      </w:pPr>
    </w:p>
    <w:p w:rsidR="00EA7B05" w:rsidRPr="00EA7B05" w:rsidRDefault="00EA7B05" w:rsidP="00EA7B05">
      <w:pPr>
        <w:autoSpaceDE w:val="0"/>
        <w:autoSpaceDN w:val="0"/>
        <w:adjustRightInd w:val="0"/>
        <w:jc w:val="left"/>
        <w:rPr>
          <w:rFonts w:eastAsia="Calibri"/>
          <w:color w:val="000000"/>
          <w:sz w:val="23"/>
          <w:szCs w:val="23"/>
        </w:rPr>
      </w:pPr>
      <w:bookmarkStart w:id="10" w:name="z996276_1307691_TEOR"/>
    </w:p>
    <w:p w:rsidR="00EA7B05" w:rsidRPr="00EA7B05" w:rsidRDefault="00EA7B05" w:rsidP="00EA7B05">
      <w:pPr>
        <w:autoSpaceDE w:val="0"/>
        <w:autoSpaceDN w:val="0"/>
        <w:adjustRightInd w:val="0"/>
        <w:jc w:val="left"/>
        <w:rPr>
          <w:rFonts w:eastAsia="Calibri"/>
          <w:color w:val="000000"/>
          <w:sz w:val="23"/>
          <w:szCs w:val="23"/>
        </w:rPr>
      </w:pPr>
      <w:r w:rsidRPr="00EA7B05">
        <w:rPr>
          <w:rFonts w:eastAsia="Calibri"/>
          <w:color w:val="000000"/>
          <w:sz w:val="23"/>
          <w:szCs w:val="23"/>
        </w:rPr>
        <w:t xml:space="preserve">O Congresso Nacional decreta: </w:t>
      </w:r>
    </w:p>
    <w:p w:rsidR="00EA7B05" w:rsidRPr="00EA7B05" w:rsidRDefault="00EA7B05" w:rsidP="00EA7B05">
      <w:pPr>
        <w:autoSpaceDE w:val="0"/>
        <w:autoSpaceDN w:val="0"/>
        <w:adjustRightInd w:val="0"/>
        <w:jc w:val="left"/>
        <w:rPr>
          <w:rFonts w:eastAsia="Calibri"/>
          <w:color w:val="000000"/>
          <w:sz w:val="23"/>
          <w:szCs w:val="23"/>
        </w:rPr>
      </w:pPr>
    </w:p>
    <w:p w:rsidR="00EA7B05" w:rsidRPr="00EA7B05" w:rsidRDefault="00EA7B05" w:rsidP="00EA7B05">
      <w:pPr>
        <w:autoSpaceDE w:val="0"/>
        <w:autoSpaceDN w:val="0"/>
        <w:adjustRightInd w:val="0"/>
        <w:rPr>
          <w:rFonts w:eastAsia="Calibri"/>
          <w:color w:val="000000"/>
          <w:sz w:val="23"/>
          <w:szCs w:val="23"/>
        </w:rPr>
      </w:pPr>
      <w:r w:rsidRPr="00EA7B05">
        <w:rPr>
          <w:rFonts w:eastAsia="Calibri"/>
          <w:color w:val="000000"/>
          <w:sz w:val="23"/>
          <w:szCs w:val="23"/>
        </w:rPr>
        <w:t xml:space="preserve">Art. 1º O art. 6º do Decreto-Lei nº 986, de 21 de outubro de 1969, passa a vigorar acrescido do seguinte inciso IV: </w:t>
      </w:r>
    </w:p>
    <w:p w:rsidR="00EA7B05" w:rsidRPr="00EA7B05" w:rsidRDefault="00EA7B05" w:rsidP="00EA7B05">
      <w:pPr>
        <w:autoSpaceDE w:val="0"/>
        <w:autoSpaceDN w:val="0"/>
        <w:adjustRightInd w:val="0"/>
        <w:ind w:left="1843" w:right="707"/>
        <w:rPr>
          <w:rFonts w:eastAsia="Calibri"/>
          <w:i/>
          <w:iCs/>
          <w:color w:val="000000"/>
          <w:sz w:val="23"/>
          <w:szCs w:val="23"/>
        </w:rPr>
      </w:pPr>
    </w:p>
    <w:p w:rsidR="00EA7B05" w:rsidRPr="00EA7B05" w:rsidRDefault="00EA7B05" w:rsidP="00EA7B05">
      <w:pPr>
        <w:autoSpaceDE w:val="0"/>
        <w:autoSpaceDN w:val="0"/>
        <w:adjustRightInd w:val="0"/>
        <w:ind w:left="1843" w:right="707"/>
        <w:rPr>
          <w:rFonts w:eastAsia="Calibri"/>
          <w:color w:val="000000"/>
          <w:sz w:val="23"/>
          <w:szCs w:val="23"/>
        </w:rPr>
      </w:pPr>
      <w:r w:rsidRPr="00EA7B05">
        <w:rPr>
          <w:rFonts w:eastAsia="Calibri"/>
          <w:i/>
          <w:iCs/>
          <w:color w:val="000000"/>
          <w:sz w:val="23"/>
          <w:szCs w:val="23"/>
        </w:rPr>
        <w:t xml:space="preserve">“Art. 6º ........................................................................ </w:t>
      </w:r>
    </w:p>
    <w:p w:rsidR="00EA7B05" w:rsidRPr="00EA7B05" w:rsidRDefault="00EA7B05" w:rsidP="00EA7B05">
      <w:pPr>
        <w:autoSpaceDE w:val="0"/>
        <w:autoSpaceDN w:val="0"/>
        <w:adjustRightInd w:val="0"/>
        <w:ind w:left="1843" w:right="707"/>
        <w:rPr>
          <w:rFonts w:eastAsia="Calibri"/>
          <w:color w:val="000000"/>
          <w:sz w:val="23"/>
          <w:szCs w:val="23"/>
        </w:rPr>
      </w:pPr>
      <w:r w:rsidRPr="00EA7B05">
        <w:rPr>
          <w:rFonts w:eastAsia="Calibri"/>
          <w:i/>
          <w:iCs/>
          <w:color w:val="000000"/>
          <w:sz w:val="23"/>
          <w:szCs w:val="23"/>
        </w:rPr>
        <w:t xml:space="preserve">.................................................................................... </w:t>
      </w:r>
    </w:p>
    <w:p w:rsidR="00EA7B05" w:rsidRPr="00EA7B05" w:rsidRDefault="00EA7B05" w:rsidP="00EA7B05">
      <w:pPr>
        <w:autoSpaceDE w:val="0"/>
        <w:autoSpaceDN w:val="0"/>
        <w:adjustRightInd w:val="0"/>
        <w:ind w:left="1843" w:right="707"/>
        <w:rPr>
          <w:rFonts w:eastAsia="Calibri"/>
          <w:color w:val="000000"/>
          <w:sz w:val="23"/>
          <w:szCs w:val="23"/>
        </w:rPr>
      </w:pPr>
      <w:r w:rsidRPr="00EA7B05">
        <w:rPr>
          <w:rFonts w:eastAsia="Calibri"/>
          <w:i/>
          <w:iCs/>
          <w:color w:val="000000"/>
          <w:sz w:val="23"/>
          <w:szCs w:val="23"/>
        </w:rPr>
        <w:t xml:space="preserve">IV – os produtos classificados como suplementos e complementos nutricionais, inclusive os importados, independentemente da forma de apresentação ao consumidor final, sendo vedada a instituição de exigências sanitárias diferenciadas em relação aos demais alimentos. (NR)” </w:t>
      </w:r>
    </w:p>
    <w:p w:rsidR="00EA7B05" w:rsidRPr="00EA7B05" w:rsidRDefault="00EA7B05" w:rsidP="00EA7B05">
      <w:pPr>
        <w:autoSpaceDE w:val="0"/>
        <w:autoSpaceDN w:val="0"/>
        <w:adjustRightInd w:val="0"/>
        <w:ind w:left="1843" w:right="707"/>
        <w:rPr>
          <w:rFonts w:eastAsia="Calibri"/>
          <w:color w:val="000000"/>
          <w:sz w:val="23"/>
          <w:szCs w:val="23"/>
        </w:rPr>
      </w:pPr>
      <w:r w:rsidRPr="00EA7B05">
        <w:rPr>
          <w:rFonts w:eastAsia="Calibri"/>
          <w:color w:val="000000"/>
          <w:sz w:val="23"/>
          <w:szCs w:val="23"/>
        </w:rPr>
        <w:t xml:space="preserve">Art. 2º Esta Lei entra em vigor na data de sua publicação. </w:t>
      </w:r>
    </w:p>
    <w:p w:rsidR="00EA7B05" w:rsidRPr="00EA7B05" w:rsidRDefault="00EA7B05" w:rsidP="00EA7B05">
      <w:pPr>
        <w:autoSpaceDE w:val="0"/>
        <w:autoSpaceDN w:val="0"/>
        <w:adjustRightInd w:val="0"/>
        <w:ind w:left="1843" w:right="707"/>
        <w:rPr>
          <w:rFonts w:eastAsia="Calibri"/>
          <w:color w:val="000000"/>
          <w:sz w:val="23"/>
          <w:szCs w:val="23"/>
        </w:rPr>
      </w:pPr>
    </w:p>
    <w:p w:rsidR="00EA7B05" w:rsidRPr="00EA7B05" w:rsidRDefault="00EA7B05" w:rsidP="00EA7B05">
      <w:pPr>
        <w:autoSpaceDE w:val="0"/>
        <w:autoSpaceDN w:val="0"/>
        <w:adjustRightInd w:val="0"/>
        <w:rPr>
          <w:rFonts w:eastAsia="Calibri"/>
          <w:color w:val="000000"/>
          <w:sz w:val="24"/>
          <w:szCs w:val="24"/>
        </w:rPr>
      </w:pPr>
    </w:p>
    <w:p w:rsidR="00EA7B05" w:rsidRPr="00EA7B05" w:rsidRDefault="00EA7B05" w:rsidP="00EA7B05">
      <w:pPr>
        <w:autoSpaceDE w:val="0"/>
        <w:autoSpaceDN w:val="0"/>
        <w:adjustRightInd w:val="0"/>
        <w:jc w:val="center"/>
        <w:rPr>
          <w:rFonts w:eastAsia="Calibri"/>
          <w:b/>
          <w:bCs/>
          <w:color w:val="000000"/>
          <w:sz w:val="28"/>
          <w:szCs w:val="28"/>
        </w:rPr>
      </w:pPr>
      <w:r w:rsidRPr="00EA7B05">
        <w:rPr>
          <w:rFonts w:eastAsia="Calibri"/>
          <w:b/>
          <w:bCs/>
          <w:color w:val="000000"/>
          <w:sz w:val="28"/>
          <w:szCs w:val="28"/>
        </w:rPr>
        <w:t>JUSTIFICAÇÃO</w:t>
      </w:r>
    </w:p>
    <w:p w:rsidR="00EA7B05" w:rsidRPr="00EA7B05" w:rsidRDefault="00EA7B05" w:rsidP="00EA7B05">
      <w:pPr>
        <w:autoSpaceDE w:val="0"/>
        <w:autoSpaceDN w:val="0"/>
        <w:adjustRightInd w:val="0"/>
        <w:rPr>
          <w:rFonts w:eastAsia="Calibri"/>
          <w:b/>
          <w:bCs/>
          <w:color w:val="000000"/>
          <w:sz w:val="28"/>
          <w:szCs w:val="28"/>
        </w:rPr>
      </w:pPr>
    </w:p>
    <w:p w:rsidR="00EA7B05" w:rsidRPr="00EA7B05" w:rsidRDefault="00EA7B05" w:rsidP="00EA7B05">
      <w:pPr>
        <w:spacing w:after="200" w:line="276" w:lineRule="auto"/>
        <w:ind w:firstLine="1701"/>
        <w:rPr>
          <w:rFonts w:eastAsia="Calibri"/>
          <w:sz w:val="22"/>
        </w:rPr>
      </w:pPr>
      <w:r w:rsidRPr="00EA7B05">
        <w:rPr>
          <w:rFonts w:eastAsia="Calibri"/>
          <w:sz w:val="22"/>
        </w:rPr>
        <w:t>Em homenagem a nobre Deputada Jaqueline Roriz, ciente da importância do mérito da proposta em questão, peço vênia para apresentar este Projeto de Lei com explanação a seguir.</w:t>
      </w:r>
    </w:p>
    <w:p w:rsidR="00EA7B05" w:rsidRPr="00EA7B05" w:rsidRDefault="00EA7B05" w:rsidP="00EA7B05">
      <w:pPr>
        <w:autoSpaceDE w:val="0"/>
        <w:autoSpaceDN w:val="0"/>
        <w:adjustRightInd w:val="0"/>
        <w:ind w:firstLine="1560"/>
        <w:rPr>
          <w:rFonts w:eastAsia="Calibri"/>
          <w:color w:val="000000"/>
          <w:sz w:val="23"/>
          <w:szCs w:val="23"/>
        </w:rPr>
      </w:pPr>
      <w:r w:rsidRPr="00EA7B05">
        <w:rPr>
          <w:rFonts w:eastAsia="Calibri"/>
          <w:color w:val="000000"/>
          <w:sz w:val="24"/>
          <w:szCs w:val="24"/>
        </w:rPr>
        <w:t xml:space="preserve">Os </w:t>
      </w:r>
      <w:r w:rsidRPr="00EA7B05">
        <w:rPr>
          <w:rFonts w:eastAsia="Calibri"/>
          <w:color w:val="000000"/>
          <w:sz w:val="23"/>
          <w:szCs w:val="23"/>
        </w:rPr>
        <w:t>suplementos e complementos alimentares são, em última análise, produtos alimentícios, ainda que disponibilizados ao consumo em formatos diferenciados, como cápsulas ou comprimidos. Entretanto, nem sempre as autoridades sanitárias do País tratam tais produtos como alimentos, mas como medicamentos, produtos sobre os quais recaem diversas exigências que não têm aplicação para os alimentos. Esse tratamento diferenciado dificulta o acesso do consumidor aos suplementos nutricionais e impedem a melhoria das condições de saúde e o bem-estar geral dos indivíduos.</w:t>
      </w:r>
    </w:p>
    <w:p w:rsidR="00EA7B05" w:rsidRPr="00EA7B05" w:rsidRDefault="00EA7B05" w:rsidP="00EA7B05">
      <w:pPr>
        <w:autoSpaceDE w:val="0"/>
        <w:autoSpaceDN w:val="0"/>
        <w:adjustRightInd w:val="0"/>
        <w:ind w:firstLine="1560"/>
        <w:rPr>
          <w:rFonts w:eastAsia="Calibri"/>
          <w:sz w:val="23"/>
          <w:szCs w:val="23"/>
        </w:rPr>
      </w:pPr>
    </w:p>
    <w:p w:rsidR="00EA7B05" w:rsidRPr="00EA7B05" w:rsidRDefault="00EA7B05" w:rsidP="00EA7B05">
      <w:pPr>
        <w:autoSpaceDE w:val="0"/>
        <w:autoSpaceDN w:val="0"/>
        <w:adjustRightInd w:val="0"/>
        <w:ind w:firstLine="1560"/>
        <w:rPr>
          <w:rFonts w:eastAsia="Calibri"/>
          <w:sz w:val="23"/>
          <w:szCs w:val="23"/>
        </w:rPr>
      </w:pPr>
      <w:r w:rsidRPr="00EA7B05">
        <w:rPr>
          <w:rFonts w:eastAsia="Calibri"/>
          <w:sz w:val="23"/>
          <w:szCs w:val="23"/>
        </w:rPr>
        <w:t xml:space="preserve">Sabemos que os riscos sanitários ligados aos alimentos são extremamente menores quando comparados aos riscos dos produtos farmacêuticos. Não há justificativas de ordem pública que possam sustentar tratamento idêntico a produtos tão diferentes entre si. </w:t>
      </w:r>
    </w:p>
    <w:p w:rsidR="00EA7B05" w:rsidRPr="00EA7B05" w:rsidRDefault="00EA7B05" w:rsidP="00EA7B05">
      <w:pPr>
        <w:autoSpaceDE w:val="0"/>
        <w:autoSpaceDN w:val="0"/>
        <w:adjustRightInd w:val="0"/>
        <w:ind w:firstLine="1560"/>
        <w:rPr>
          <w:rFonts w:eastAsia="Calibri"/>
          <w:sz w:val="23"/>
          <w:szCs w:val="23"/>
        </w:rPr>
      </w:pPr>
    </w:p>
    <w:p w:rsidR="00EA7B05" w:rsidRPr="00EA7B05" w:rsidRDefault="00EA7B05" w:rsidP="00EA7B05">
      <w:pPr>
        <w:autoSpaceDE w:val="0"/>
        <w:autoSpaceDN w:val="0"/>
        <w:adjustRightInd w:val="0"/>
        <w:ind w:firstLine="1560"/>
        <w:rPr>
          <w:rFonts w:eastAsia="Calibri"/>
          <w:sz w:val="23"/>
          <w:szCs w:val="23"/>
        </w:rPr>
      </w:pPr>
      <w:r w:rsidRPr="00EA7B05">
        <w:rPr>
          <w:rFonts w:eastAsia="Calibri"/>
          <w:sz w:val="23"/>
          <w:szCs w:val="23"/>
        </w:rPr>
        <w:t xml:space="preserve">O presente projeto tem o objetivo principal de isentar os suplementos e complementos nutricionais da exigência de registro sanitário e impedir que a Anvisa crie exigências para esses produtos diferenciadas daquelas exigidas dos demais alimentos. Em outras palavras, o projeto, caso aprovado, impedirá que a vigilância sanitária enquadre os suplementos nutricionais como medicamentos, para dar-lhes a correta qualificação de alimentos. Com isso, espera-se que o acesso a tais produtos seja facilitado, com reflexos positivos na promoção e manutenção da saúde individual. </w:t>
      </w:r>
    </w:p>
    <w:p w:rsidR="00EA7B05" w:rsidRPr="00EA7B05" w:rsidRDefault="00EA7B05" w:rsidP="00EA7B05">
      <w:pPr>
        <w:autoSpaceDE w:val="0"/>
        <w:autoSpaceDN w:val="0"/>
        <w:adjustRightInd w:val="0"/>
        <w:ind w:firstLine="1560"/>
        <w:rPr>
          <w:rFonts w:eastAsia="Calibri"/>
          <w:sz w:val="23"/>
          <w:szCs w:val="23"/>
        </w:rPr>
      </w:pPr>
    </w:p>
    <w:p w:rsidR="00EA7B05" w:rsidRPr="00EA7B05" w:rsidRDefault="00EA7B05" w:rsidP="00EA7B05">
      <w:pPr>
        <w:autoSpaceDE w:val="0"/>
        <w:autoSpaceDN w:val="0"/>
        <w:adjustRightInd w:val="0"/>
        <w:ind w:firstLine="1560"/>
        <w:rPr>
          <w:rFonts w:eastAsia="Calibri"/>
          <w:sz w:val="23"/>
          <w:szCs w:val="23"/>
        </w:rPr>
      </w:pPr>
      <w:r w:rsidRPr="00EA7B05">
        <w:rPr>
          <w:rFonts w:eastAsia="Calibri"/>
          <w:sz w:val="23"/>
          <w:szCs w:val="23"/>
        </w:rPr>
        <w:t xml:space="preserve">Assim, conclamo os demais parlamentares no sentido do acolhimento da presente matéria. </w:t>
      </w:r>
    </w:p>
    <w:p w:rsidR="00EA7B05" w:rsidRPr="00EA7B05" w:rsidRDefault="00EA7B05" w:rsidP="00EA7B05">
      <w:pPr>
        <w:autoSpaceDE w:val="0"/>
        <w:autoSpaceDN w:val="0"/>
        <w:adjustRightInd w:val="0"/>
        <w:rPr>
          <w:rFonts w:eastAsia="Calibri"/>
          <w:sz w:val="23"/>
          <w:szCs w:val="23"/>
        </w:rPr>
      </w:pPr>
    </w:p>
    <w:p w:rsidR="00EA7B05" w:rsidRPr="00EA7B05" w:rsidRDefault="00EA7B05" w:rsidP="00EA7B05">
      <w:pPr>
        <w:autoSpaceDE w:val="0"/>
        <w:autoSpaceDN w:val="0"/>
        <w:adjustRightInd w:val="0"/>
        <w:spacing w:line="360" w:lineRule="auto"/>
        <w:jc w:val="center"/>
        <w:rPr>
          <w:rFonts w:eastAsia="Calibri"/>
          <w:sz w:val="23"/>
          <w:szCs w:val="23"/>
        </w:rPr>
      </w:pPr>
      <w:r w:rsidRPr="00EA7B05">
        <w:rPr>
          <w:rFonts w:eastAsia="Calibri"/>
          <w:sz w:val="23"/>
          <w:szCs w:val="23"/>
        </w:rPr>
        <w:t xml:space="preserve">Sala das Sessões, em </w:t>
      </w:r>
      <w:r w:rsidR="00CC7169">
        <w:rPr>
          <w:rFonts w:eastAsia="Calibri"/>
          <w:sz w:val="23"/>
          <w:szCs w:val="23"/>
        </w:rPr>
        <w:t xml:space="preserve">10 </w:t>
      </w:r>
      <w:r w:rsidRPr="00EA7B05">
        <w:rPr>
          <w:rFonts w:eastAsia="Calibri"/>
          <w:sz w:val="23"/>
          <w:szCs w:val="23"/>
        </w:rPr>
        <w:t>de</w:t>
      </w:r>
      <w:r w:rsidR="00CC7169">
        <w:rPr>
          <w:rFonts w:eastAsia="Calibri"/>
          <w:sz w:val="23"/>
          <w:szCs w:val="23"/>
        </w:rPr>
        <w:t xml:space="preserve"> março </w:t>
      </w:r>
      <w:r w:rsidRPr="00EA7B05">
        <w:rPr>
          <w:rFonts w:eastAsia="Calibri"/>
          <w:sz w:val="23"/>
          <w:szCs w:val="23"/>
        </w:rPr>
        <w:t xml:space="preserve"> de 2015.</w:t>
      </w:r>
    </w:p>
    <w:p w:rsidR="00EA7B05" w:rsidRPr="00EA7B05" w:rsidRDefault="00EA7B05" w:rsidP="00EA7B05">
      <w:pPr>
        <w:autoSpaceDE w:val="0"/>
        <w:autoSpaceDN w:val="0"/>
        <w:adjustRightInd w:val="0"/>
        <w:spacing w:line="360" w:lineRule="auto"/>
        <w:jc w:val="center"/>
        <w:rPr>
          <w:rFonts w:ascii="Courier New" w:eastAsia="Calibri" w:hAnsi="Courier New" w:cs="Courier New"/>
          <w:color w:val="000000"/>
          <w:sz w:val="22"/>
        </w:rPr>
      </w:pPr>
      <w:r w:rsidRPr="00EA7B05">
        <w:rPr>
          <w:rFonts w:eastAsia="Calibri"/>
          <w:sz w:val="23"/>
          <w:szCs w:val="23"/>
        </w:rPr>
        <w:t>Deputado LUIZ NISHIMORI</w:t>
      </w:r>
    </w:p>
    <w:p w:rsidR="00EA7B05" w:rsidRPr="00EA7B05" w:rsidRDefault="00EA7B05" w:rsidP="00EA7B05">
      <w:pPr>
        <w:spacing w:line="360" w:lineRule="auto"/>
        <w:jc w:val="center"/>
        <w:rPr>
          <w:rFonts w:ascii="Calibri" w:eastAsia="Calibri" w:hAnsi="Calibri" w:cs="Times New Roman"/>
          <w:sz w:val="22"/>
        </w:rPr>
      </w:pPr>
    </w:p>
    <w:p w:rsidR="00EA7B05" w:rsidRPr="00EA7B05" w:rsidRDefault="00EA7B05" w:rsidP="00EA7B05">
      <w:pPr>
        <w:pageBreakBefore/>
        <w:autoSpaceDE w:val="0"/>
        <w:autoSpaceDN w:val="0"/>
        <w:adjustRightInd w:val="0"/>
        <w:jc w:val="left"/>
        <w:rPr>
          <w:rFonts w:eastAsia="Calibri"/>
          <w:color w:val="000000"/>
          <w:sz w:val="23"/>
          <w:szCs w:val="23"/>
        </w:rPr>
      </w:pPr>
    </w:p>
    <w:p w:rsidR="00EA7B05" w:rsidRPr="00EA7B05" w:rsidRDefault="00EA7B05" w:rsidP="00EA7B05">
      <w:pPr>
        <w:spacing w:after="200" w:line="276" w:lineRule="auto"/>
        <w:jc w:val="left"/>
        <w:rPr>
          <w:rFonts w:ascii="Calibri" w:eastAsia="Calibri" w:hAnsi="Calibri" w:cs="Times New Roman"/>
          <w:sz w:val="22"/>
        </w:rPr>
      </w:pPr>
    </w:p>
    <w:p w:rsidR="00EA7B05" w:rsidRDefault="00EA7B05" w:rsidP="00EA7B05">
      <w:pPr>
        <w:rPr>
          <w:sz w:val="24"/>
        </w:rPr>
      </w:pPr>
    </w:p>
    <w:p w:rsidR="00EA7B05" w:rsidRDefault="00EA7B05" w:rsidP="00EA7B05">
      <w:pPr>
        <w:pBdr>
          <w:top w:val="single" w:sz="4" w:space="1" w:color="auto"/>
          <w:left w:val="single" w:sz="4" w:space="4" w:color="auto"/>
          <w:bottom w:val="single" w:sz="4" w:space="1" w:color="auto"/>
          <w:right w:val="single" w:sz="4" w:space="4" w:color="auto"/>
        </w:pBdr>
        <w:jc w:val="center"/>
        <w:rPr>
          <w:b/>
          <w:sz w:val="24"/>
        </w:rPr>
      </w:pPr>
      <w:bookmarkStart w:id="11" w:name="z996276_LEGISLACAO"/>
      <w:bookmarkEnd w:id="10"/>
      <w:r>
        <w:rPr>
          <w:b/>
          <w:sz w:val="24"/>
        </w:rPr>
        <w:t>LEGISLAÇÃO CITADA ANEXADA PELA</w:t>
      </w:r>
    </w:p>
    <w:p w:rsidR="00EA7B05" w:rsidRDefault="00EA7B05" w:rsidP="00EA7B05">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EA7B05" w:rsidRDefault="00EA7B05" w:rsidP="00EA7B05">
      <w:pPr>
        <w:jc w:val="center"/>
        <w:rPr>
          <w:b/>
          <w:sz w:val="24"/>
        </w:rPr>
      </w:pPr>
    </w:p>
    <w:p w:rsidR="00EA7B05" w:rsidRPr="00EA7B05" w:rsidRDefault="00EA7B05" w:rsidP="00EA7B05">
      <w:pPr>
        <w:jc w:val="left"/>
        <w:rPr>
          <w:rFonts w:ascii="Times New Roman" w:eastAsia="Times New Roman" w:hAnsi="Times New Roman" w:cs="Times New Roman"/>
          <w:szCs w:val="20"/>
          <w:lang w:eastAsia="pt-BR"/>
        </w:rPr>
      </w:pPr>
    </w:p>
    <w:p w:rsidR="00EA7B05" w:rsidRPr="00EA7B05" w:rsidRDefault="00EA7B05" w:rsidP="00EA7B05">
      <w:pPr>
        <w:jc w:val="center"/>
        <w:rPr>
          <w:rFonts w:ascii="Times New Roman" w:eastAsia="Times New Roman" w:hAnsi="Times New Roman" w:cs="Times New Roman"/>
          <w:b/>
          <w:sz w:val="28"/>
          <w:szCs w:val="28"/>
          <w:lang w:eastAsia="pt-BR"/>
        </w:rPr>
      </w:pPr>
      <w:r w:rsidRPr="00EA7B05">
        <w:rPr>
          <w:rFonts w:ascii="Times New Roman" w:eastAsia="Times New Roman" w:hAnsi="Times New Roman" w:cs="Times New Roman"/>
          <w:b/>
          <w:sz w:val="28"/>
          <w:szCs w:val="28"/>
          <w:lang w:eastAsia="pt-BR"/>
        </w:rPr>
        <w:t>DECRETO-LEI Nº 986, DE 21 DE OUTUBRO DE 1969</w:t>
      </w:r>
    </w:p>
    <w:p w:rsidR="00EA7B05" w:rsidRPr="00EA7B05" w:rsidRDefault="00EA7B05" w:rsidP="00EA7B05">
      <w:pPr>
        <w:jc w:val="center"/>
        <w:rPr>
          <w:rFonts w:ascii="Times New Roman" w:eastAsia="Times New Roman" w:hAnsi="Times New Roman" w:cs="Times New Roman"/>
          <w:sz w:val="24"/>
          <w:szCs w:val="24"/>
          <w:lang w:eastAsia="pt-BR"/>
        </w:rPr>
      </w:pPr>
    </w:p>
    <w:p w:rsidR="00EA7B05" w:rsidRPr="00EA7B05" w:rsidRDefault="00EA7B05" w:rsidP="00EA7B05">
      <w:pPr>
        <w:jc w:val="center"/>
        <w:rPr>
          <w:rFonts w:ascii="Times New Roman" w:eastAsia="Times New Roman" w:hAnsi="Times New Roman" w:cs="Times New Roman"/>
          <w:sz w:val="24"/>
          <w:szCs w:val="24"/>
          <w:lang w:eastAsia="pt-BR"/>
        </w:rPr>
      </w:pPr>
    </w:p>
    <w:p w:rsidR="00EA7B05" w:rsidRPr="00EA7B05" w:rsidRDefault="00EA7B05" w:rsidP="00EA7B05">
      <w:pPr>
        <w:ind w:left="4536"/>
        <w:jc w:val="center"/>
        <w:rPr>
          <w:rFonts w:ascii="Times New Roman" w:eastAsia="Times New Roman" w:hAnsi="Times New Roman" w:cs="Times New Roman"/>
          <w:sz w:val="24"/>
          <w:szCs w:val="24"/>
          <w:lang w:eastAsia="pt-BR"/>
        </w:rPr>
      </w:pPr>
      <w:r w:rsidRPr="00EA7B05">
        <w:rPr>
          <w:rFonts w:ascii="Times New Roman" w:eastAsia="Times New Roman" w:hAnsi="Times New Roman" w:cs="Times New Roman"/>
          <w:sz w:val="24"/>
          <w:szCs w:val="24"/>
          <w:lang w:eastAsia="pt-BR"/>
        </w:rPr>
        <w:t xml:space="preserve">Institui normas básicas sobre alimentos. </w:t>
      </w:r>
    </w:p>
    <w:p w:rsidR="00EA7B05" w:rsidRPr="00EA7B05" w:rsidRDefault="00EA7B05" w:rsidP="00EA7B05">
      <w:pPr>
        <w:jc w:val="center"/>
        <w:rPr>
          <w:rFonts w:ascii="Times New Roman" w:eastAsia="Times New Roman" w:hAnsi="Times New Roman" w:cs="Times New Roman"/>
          <w:sz w:val="24"/>
          <w:szCs w:val="24"/>
          <w:lang w:eastAsia="pt-BR"/>
        </w:rPr>
      </w:pPr>
    </w:p>
    <w:p w:rsidR="00EA7B05" w:rsidRPr="00EA7B05" w:rsidRDefault="00EA7B05" w:rsidP="00EA7B05">
      <w:pPr>
        <w:jc w:val="center"/>
        <w:rPr>
          <w:rFonts w:ascii="Times New Roman" w:eastAsia="Times New Roman" w:hAnsi="Times New Roman" w:cs="Times New Roman"/>
          <w:sz w:val="24"/>
          <w:szCs w:val="24"/>
          <w:lang w:eastAsia="pt-BR"/>
        </w:rPr>
      </w:pPr>
    </w:p>
    <w:p w:rsidR="00EA7B05" w:rsidRPr="00EA7B05" w:rsidRDefault="00EA7B05" w:rsidP="00EA7B05">
      <w:pPr>
        <w:ind w:firstLine="1134"/>
        <w:rPr>
          <w:rFonts w:ascii="Times New Roman" w:eastAsia="Times New Roman" w:hAnsi="Times New Roman" w:cs="Times New Roman"/>
          <w:sz w:val="24"/>
          <w:szCs w:val="24"/>
          <w:lang w:eastAsia="pt-BR"/>
        </w:rPr>
      </w:pPr>
      <w:r w:rsidRPr="00EA7B05">
        <w:rPr>
          <w:rFonts w:ascii="Times New Roman" w:eastAsia="Times New Roman" w:hAnsi="Times New Roman" w:cs="Times New Roman"/>
          <w:b/>
          <w:sz w:val="24"/>
          <w:szCs w:val="24"/>
          <w:lang w:eastAsia="pt-BR"/>
        </w:rPr>
        <w:t>OS MINISTROS DA MARINHA DE GUERRA, DO EXÉRCITO E DA</w:t>
      </w:r>
      <w:r w:rsidRPr="00EA7B05">
        <w:rPr>
          <w:rFonts w:ascii="Times New Roman" w:eastAsia="Times New Roman" w:hAnsi="Times New Roman" w:cs="Times New Roman"/>
          <w:sz w:val="24"/>
          <w:szCs w:val="24"/>
          <w:lang w:eastAsia="pt-BR"/>
        </w:rPr>
        <w:t xml:space="preserve"> </w:t>
      </w:r>
      <w:r w:rsidRPr="00EA7B05">
        <w:rPr>
          <w:rFonts w:ascii="Times New Roman" w:eastAsia="Times New Roman" w:hAnsi="Times New Roman" w:cs="Times New Roman"/>
          <w:b/>
          <w:sz w:val="24"/>
          <w:szCs w:val="24"/>
          <w:lang w:eastAsia="pt-BR"/>
        </w:rPr>
        <w:t>AERONÁUTICA MILITAR</w:t>
      </w:r>
      <w:r w:rsidRPr="00EA7B05">
        <w:rPr>
          <w:rFonts w:ascii="Times New Roman" w:eastAsia="Times New Roman" w:hAnsi="Times New Roman" w:cs="Times New Roman"/>
          <w:sz w:val="24"/>
          <w:szCs w:val="24"/>
          <w:lang w:eastAsia="pt-BR"/>
        </w:rPr>
        <w:t xml:space="preserve">, usando das atribuições que lhes confere o artigo 3º do Ato Institucional nº 16, de 14 de outubro de 1969, combinado com o § 1º do artigo 2º do Ato Institucional nº 5, de 13 de dezembro de 1968, </w:t>
      </w:r>
    </w:p>
    <w:p w:rsidR="00EA7B05" w:rsidRPr="00EA7B05" w:rsidRDefault="00EA7B05" w:rsidP="00EA7B05">
      <w:pPr>
        <w:ind w:firstLine="1134"/>
        <w:rPr>
          <w:rFonts w:ascii="Times New Roman" w:eastAsia="Times New Roman" w:hAnsi="Times New Roman" w:cs="Times New Roman"/>
          <w:sz w:val="24"/>
          <w:szCs w:val="24"/>
          <w:lang w:eastAsia="pt-BR"/>
        </w:rPr>
      </w:pPr>
    </w:p>
    <w:p w:rsidR="00EA7B05" w:rsidRPr="00EA7B05" w:rsidRDefault="00EA7B05" w:rsidP="00EA7B05">
      <w:pPr>
        <w:ind w:firstLine="1134"/>
        <w:rPr>
          <w:rFonts w:ascii="Times New Roman" w:eastAsia="Times New Roman" w:hAnsi="Times New Roman" w:cs="Times New Roman"/>
          <w:sz w:val="24"/>
          <w:szCs w:val="24"/>
          <w:lang w:eastAsia="pt-BR"/>
        </w:rPr>
      </w:pPr>
      <w:r w:rsidRPr="00EA7B05">
        <w:rPr>
          <w:rFonts w:ascii="Times New Roman" w:eastAsia="Times New Roman" w:hAnsi="Times New Roman" w:cs="Times New Roman"/>
          <w:sz w:val="24"/>
          <w:szCs w:val="24"/>
          <w:lang w:eastAsia="pt-BR"/>
        </w:rPr>
        <w:t>DECRETAM:</w:t>
      </w:r>
    </w:p>
    <w:p w:rsidR="00EA7B05" w:rsidRPr="00EA7B05" w:rsidRDefault="00EA7B05" w:rsidP="00EA7B05">
      <w:pPr>
        <w:jc w:val="center"/>
        <w:rPr>
          <w:rFonts w:ascii="Times New Roman" w:eastAsia="Times New Roman" w:hAnsi="Times New Roman" w:cs="Times New Roman"/>
          <w:sz w:val="24"/>
          <w:szCs w:val="24"/>
          <w:lang w:eastAsia="pt-BR"/>
        </w:rPr>
      </w:pPr>
      <w:r w:rsidRPr="00EA7B05">
        <w:rPr>
          <w:rFonts w:ascii="Times New Roman" w:eastAsia="Times New Roman" w:hAnsi="Times New Roman" w:cs="Times New Roman"/>
          <w:sz w:val="24"/>
          <w:szCs w:val="24"/>
          <w:lang w:eastAsia="pt-BR"/>
        </w:rPr>
        <w:t>...................................................................................................................................................</w:t>
      </w:r>
    </w:p>
    <w:p w:rsidR="00EA7B05" w:rsidRPr="00EA7B05" w:rsidRDefault="00EA7B05" w:rsidP="00EA7B05">
      <w:pPr>
        <w:jc w:val="center"/>
        <w:rPr>
          <w:rFonts w:ascii="Times New Roman" w:eastAsia="Times New Roman" w:hAnsi="Times New Roman" w:cs="Times New Roman"/>
          <w:sz w:val="24"/>
          <w:szCs w:val="24"/>
          <w:lang w:eastAsia="pt-BR"/>
        </w:rPr>
      </w:pPr>
    </w:p>
    <w:p w:rsidR="00EA7B05" w:rsidRPr="00EA7B05" w:rsidRDefault="00EA7B05" w:rsidP="00EA7B05">
      <w:pPr>
        <w:jc w:val="center"/>
        <w:rPr>
          <w:rFonts w:ascii="Times New Roman" w:eastAsia="Times New Roman" w:hAnsi="Times New Roman" w:cs="Times New Roman"/>
          <w:sz w:val="24"/>
          <w:szCs w:val="24"/>
          <w:lang w:eastAsia="pt-BR"/>
        </w:rPr>
      </w:pPr>
      <w:r w:rsidRPr="00EA7B05">
        <w:rPr>
          <w:rFonts w:ascii="Times New Roman" w:eastAsia="Times New Roman" w:hAnsi="Times New Roman" w:cs="Times New Roman"/>
          <w:sz w:val="24"/>
          <w:szCs w:val="24"/>
          <w:lang w:eastAsia="pt-BR"/>
        </w:rPr>
        <w:t>CAPÍTULO II</w:t>
      </w:r>
    </w:p>
    <w:p w:rsidR="00EA7B05" w:rsidRPr="00EA7B05" w:rsidRDefault="00EA7B05" w:rsidP="00EA7B05">
      <w:pPr>
        <w:jc w:val="center"/>
        <w:rPr>
          <w:rFonts w:ascii="Times New Roman" w:eastAsia="Times New Roman" w:hAnsi="Times New Roman" w:cs="Times New Roman"/>
          <w:sz w:val="24"/>
          <w:szCs w:val="24"/>
          <w:lang w:eastAsia="pt-BR"/>
        </w:rPr>
      </w:pPr>
      <w:r w:rsidRPr="00EA7B05">
        <w:rPr>
          <w:rFonts w:ascii="Times New Roman" w:eastAsia="Times New Roman" w:hAnsi="Times New Roman" w:cs="Times New Roman"/>
          <w:sz w:val="24"/>
          <w:szCs w:val="24"/>
          <w:lang w:eastAsia="pt-BR"/>
        </w:rPr>
        <w:t>DO REGISTRO E DO CONTRÔLE</w:t>
      </w:r>
    </w:p>
    <w:p w:rsidR="00EA7B05" w:rsidRPr="00EA7B05" w:rsidRDefault="00EA7B05" w:rsidP="00EA7B05">
      <w:pPr>
        <w:rPr>
          <w:rFonts w:ascii="Times New Roman" w:eastAsia="Times New Roman" w:hAnsi="Times New Roman" w:cs="Times New Roman"/>
          <w:sz w:val="24"/>
          <w:szCs w:val="24"/>
          <w:lang w:eastAsia="pt-BR"/>
        </w:rPr>
      </w:pPr>
      <w:r w:rsidRPr="00EA7B05">
        <w:rPr>
          <w:rFonts w:ascii="Times New Roman" w:eastAsia="Times New Roman" w:hAnsi="Times New Roman" w:cs="Times New Roman"/>
          <w:sz w:val="24"/>
          <w:szCs w:val="24"/>
          <w:lang w:eastAsia="pt-BR"/>
        </w:rPr>
        <w:t>.......................................................................................................................................................</w:t>
      </w:r>
    </w:p>
    <w:p w:rsidR="00EA7B05" w:rsidRPr="00EA7B05" w:rsidRDefault="00EA7B05" w:rsidP="00EA7B05">
      <w:pPr>
        <w:ind w:firstLine="1134"/>
        <w:rPr>
          <w:rFonts w:ascii="Times New Roman" w:eastAsia="Times New Roman" w:hAnsi="Times New Roman" w:cs="Times New Roman"/>
          <w:sz w:val="24"/>
          <w:szCs w:val="24"/>
          <w:lang w:eastAsia="pt-BR"/>
        </w:rPr>
      </w:pPr>
    </w:p>
    <w:p w:rsidR="00EA7B05" w:rsidRPr="00EA7B05" w:rsidRDefault="00EA7B05" w:rsidP="00EA7B05">
      <w:pPr>
        <w:ind w:firstLine="1134"/>
        <w:rPr>
          <w:rFonts w:ascii="Times New Roman" w:eastAsia="Times New Roman" w:hAnsi="Times New Roman" w:cs="Times New Roman"/>
          <w:sz w:val="24"/>
          <w:szCs w:val="24"/>
          <w:lang w:eastAsia="pt-BR"/>
        </w:rPr>
      </w:pPr>
      <w:r w:rsidRPr="00EA7B05">
        <w:rPr>
          <w:rFonts w:ascii="Times New Roman" w:eastAsia="Times New Roman" w:hAnsi="Times New Roman" w:cs="Times New Roman"/>
          <w:sz w:val="24"/>
          <w:szCs w:val="24"/>
          <w:lang w:eastAsia="pt-BR"/>
        </w:rPr>
        <w:t xml:space="preserve">Art. 6º Ficam dispensados da obrigatoriedade de registro no órgão competente do Ministério da Saúde: </w:t>
      </w:r>
    </w:p>
    <w:p w:rsidR="00EA7B05" w:rsidRPr="00EA7B05" w:rsidRDefault="00EA7B05" w:rsidP="00EA7B05">
      <w:pPr>
        <w:ind w:firstLine="1134"/>
        <w:rPr>
          <w:rFonts w:ascii="Times New Roman" w:eastAsia="Times New Roman" w:hAnsi="Times New Roman" w:cs="Times New Roman"/>
          <w:sz w:val="24"/>
          <w:szCs w:val="24"/>
          <w:lang w:eastAsia="pt-BR"/>
        </w:rPr>
      </w:pPr>
      <w:r w:rsidRPr="00EA7B05">
        <w:rPr>
          <w:rFonts w:ascii="Times New Roman" w:eastAsia="Times New Roman" w:hAnsi="Times New Roman" w:cs="Times New Roman"/>
          <w:sz w:val="24"/>
          <w:szCs w:val="24"/>
          <w:lang w:eastAsia="pt-BR"/>
        </w:rPr>
        <w:t xml:space="preserve">I - As matérias primas alimentares e os alimentos in natura ; </w:t>
      </w:r>
    </w:p>
    <w:p w:rsidR="00EA7B05" w:rsidRPr="00EA7B05" w:rsidRDefault="00EA7B05" w:rsidP="00EA7B05">
      <w:pPr>
        <w:ind w:firstLine="1134"/>
        <w:rPr>
          <w:rFonts w:ascii="Times New Roman" w:eastAsia="Times New Roman" w:hAnsi="Times New Roman" w:cs="Times New Roman"/>
          <w:sz w:val="24"/>
          <w:szCs w:val="24"/>
          <w:lang w:eastAsia="pt-BR"/>
        </w:rPr>
      </w:pPr>
      <w:r w:rsidRPr="00EA7B05">
        <w:rPr>
          <w:rFonts w:ascii="Times New Roman" w:eastAsia="Times New Roman" w:hAnsi="Times New Roman" w:cs="Times New Roman"/>
          <w:sz w:val="24"/>
          <w:szCs w:val="24"/>
          <w:lang w:eastAsia="pt-BR"/>
        </w:rPr>
        <w:t xml:space="preserve">II - Os aditivos intencionais e os coadjuvantes da tecnologia de fabricação de alimentos dispensados por Resolução da Comissão Nacional de Normas e Padrões para Alimentos; </w:t>
      </w:r>
    </w:p>
    <w:p w:rsidR="00EA7B05" w:rsidRPr="00EA7B05" w:rsidRDefault="00EA7B05" w:rsidP="00EA7B05">
      <w:pPr>
        <w:ind w:firstLine="1134"/>
        <w:rPr>
          <w:rFonts w:ascii="Times New Roman" w:eastAsia="Times New Roman" w:hAnsi="Times New Roman" w:cs="Times New Roman"/>
          <w:sz w:val="24"/>
          <w:szCs w:val="24"/>
          <w:lang w:eastAsia="pt-BR"/>
        </w:rPr>
      </w:pPr>
      <w:r w:rsidRPr="00EA7B05">
        <w:rPr>
          <w:rFonts w:ascii="Times New Roman" w:eastAsia="Times New Roman" w:hAnsi="Times New Roman" w:cs="Times New Roman"/>
          <w:sz w:val="24"/>
          <w:szCs w:val="24"/>
          <w:lang w:eastAsia="pt-BR"/>
        </w:rPr>
        <w:t xml:space="preserve">III - Os produtos alimentícios, quando destinados ao emprêgo na preparação de alimentos industrializados, em estabelecimentos devidamente licenciados, desde que incluídos em Re solução da Comissão Nacional de Normas e Padrões para Alimentos. </w:t>
      </w:r>
    </w:p>
    <w:p w:rsidR="00EA7B05" w:rsidRPr="00EA7B05" w:rsidRDefault="00EA7B05" w:rsidP="00EA7B05">
      <w:pPr>
        <w:ind w:firstLine="1134"/>
        <w:rPr>
          <w:rFonts w:ascii="Times New Roman" w:eastAsia="Times New Roman" w:hAnsi="Times New Roman" w:cs="Times New Roman"/>
          <w:sz w:val="24"/>
          <w:szCs w:val="24"/>
          <w:lang w:eastAsia="pt-BR"/>
        </w:rPr>
      </w:pPr>
    </w:p>
    <w:p w:rsidR="00EA7B05" w:rsidRPr="00EA7B05" w:rsidRDefault="00EA7B05" w:rsidP="00EA7B05">
      <w:pPr>
        <w:ind w:firstLine="1134"/>
        <w:rPr>
          <w:rFonts w:ascii="Times New Roman" w:eastAsia="Times New Roman" w:hAnsi="Times New Roman" w:cs="Times New Roman"/>
          <w:sz w:val="24"/>
          <w:szCs w:val="24"/>
          <w:lang w:eastAsia="pt-BR"/>
        </w:rPr>
      </w:pPr>
      <w:r w:rsidRPr="00EA7B05">
        <w:rPr>
          <w:rFonts w:ascii="Times New Roman" w:eastAsia="Times New Roman" w:hAnsi="Times New Roman" w:cs="Times New Roman"/>
          <w:sz w:val="24"/>
          <w:szCs w:val="24"/>
          <w:lang w:eastAsia="pt-BR"/>
        </w:rPr>
        <w:t xml:space="preserve">Art. 7º Concedido o registro, fica obrigada a firma responsável a comunicar ao órgão competente, no prazo de até 30 (trinta) dias, a data da entrega do alimento ao consumo. </w:t>
      </w:r>
    </w:p>
    <w:p w:rsidR="00EA7B05" w:rsidRPr="00EA7B05" w:rsidRDefault="00EA7B05" w:rsidP="00EA7B05">
      <w:pPr>
        <w:ind w:firstLine="1134"/>
        <w:rPr>
          <w:rFonts w:ascii="Times New Roman" w:eastAsia="Times New Roman" w:hAnsi="Times New Roman" w:cs="Times New Roman"/>
          <w:sz w:val="24"/>
          <w:szCs w:val="24"/>
          <w:lang w:eastAsia="pt-BR"/>
        </w:rPr>
      </w:pPr>
      <w:r w:rsidRPr="00EA7B05">
        <w:rPr>
          <w:rFonts w:ascii="Times New Roman" w:eastAsia="Times New Roman" w:hAnsi="Times New Roman" w:cs="Times New Roman"/>
          <w:sz w:val="24"/>
          <w:szCs w:val="24"/>
          <w:lang w:eastAsia="pt-BR"/>
        </w:rPr>
        <w:t xml:space="preserve">§ 1º Após o recebimento da comunicação deverá a autoridade fiscalizadora competente providenciar a colheita de amostra para a respectiva análise de contrôle, que será efetuada no alimento tal como se apresenta ao consumo. </w:t>
      </w:r>
    </w:p>
    <w:p w:rsidR="00EA7B05" w:rsidRPr="00EA7B05" w:rsidRDefault="00EA7B05" w:rsidP="00EA7B05">
      <w:pPr>
        <w:ind w:firstLine="1134"/>
        <w:rPr>
          <w:rFonts w:ascii="Times New Roman" w:eastAsia="Times New Roman" w:hAnsi="Times New Roman" w:cs="Times New Roman"/>
          <w:sz w:val="24"/>
          <w:szCs w:val="24"/>
          <w:lang w:eastAsia="pt-BR"/>
        </w:rPr>
      </w:pPr>
      <w:r w:rsidRPr="00EA7B05">
        <w:rPr>
          <w:rFonts w:ascii="Times New Roman" w:eastAsia="Times New Roman" w:hAnsi="Times New Roman" w:cs="Times New Roman"/>
          <w:sz w:val="24"/>
          <w:szCs w:val="24"/>
          <w:lang w:eastAsia="pt-BR"/>
        </w:rPr>
        <w:t xml:space="preserve">§ 2º A análise de contrôle observará as normas estabelecidas para a análise fiscal. </w:t>
      </w:r>
    </w:p>
    <w:p w:rsidR="00EA7B05" w:rsidRPr="00EA7B05" w:rsidRDefault="00EA7B05" w:rsidP="00EA7B05">
      <w:pPr>
        <w:ind w:firstLine="1134"/>
        <w:rPr>
          <w:rFonts w:ascii="Times New Roman" w:eastAsia="Times New Roman" w:hAnsi="Times New Roman" w:cs="Times New Roman"/>
          <w:sz w:val="24"/>
          <w:szCs w:val="24"/>
          <w:lang w:eastAsia="pt-BR"/>
        </w:rPr>
      </w:pPr>
      <w:r w:rsidRPr="00EA7B05">
        <w:rPr>
          <w:rFonts w:ascii="Times New Roman" w:eastAsia="Times New Roman" w:hAnsi="Times New Roman" w:cs="Times New Roman"/>
          <w:sz w:val="24"/>
          <w:szCs w:val="24"/>
          <w:lang w:eastAsia="pt-BR"/>
        </w:rPr>
        <w:t xml:space="preserve">§ 3º O laudo de análise de contrôle será remetido ao órgão competente do Ministério da Saúde para arquivamento e passará a constituir o elemento de identificação do alimento. </w:t>
      </w:r>
    </w:p>
    <w:p w:rsidR="00EA7B05" w:rsidRPr="00EA7B05" w:rsidRDefault="00EA7B05" w:rsidP="00EA7B05">
      <w:pPr>
        <w:ind w:firstLine="1134"/>
        <w:rPr>
          <w:rFonts w:ascii="Times New Roman" w:eastAsia="Times New Roman" w:hAnsi="Times New Roman" w:cs="Times New Roman"/>
          <w:sz w:val="24"/>
          <w:szCs w:val="24"/>
          <w:lang w:eastAsia="pt-BR"/>
        </w:rPr>
      </w:pPr>
      <w:r w:rsidRPr="00EA7B05">
        <w:rPr>
          <w:rFonts w:ascii="Times New Roman" w:eastAsia="Times New Roman" w:hAnsi="Times New Roman" w:cs="Times New Roman"/>
          <w:sz w:val="24"/>
          <w:szCs w:val="24"/>
          <w:lang w:eastAsia="pt-BR"/>
        </w:rPr>
        <w:t xml:space="preserve">§ 4º Em caso de análise condenatória, e sendo o alimento considerado impróprio para o consumo, será cancelado o registro anteriormente concedido e determinada a sua apreensão em todo território brasileiro. </w:t>
      </w:r>
    </w:p>
    <w:p w:rsidR="00EA7B05" w:rsidRPr="00EA7B05" w:rsidRDefault="00EA7B05" w:rsidP="00EA7B05">
      <w:pPr>
        <w:ind w:firstLine="1134"/>
        <w:rPr>
          <w:rFonts w:ascii="Times New Roman" w:eastAsia="Times New Roman" w:hAnsi="Times New Roman" w:cs="Times New Roman"/>
          <w:sz w:val="24"/>
          <w:szCs w:val="24"/>
          <w:lang w:eastAsia="pt-BR"/>
        </w:rPr>
      </w:pPr>
      <w:r w:rsidRPr="00EA7B05">
        <w:rPr>
          <w:rFonts w:ascii="Times New Roman" w:eastAsia="Times New Roman" w:hAnsi="Times New Roman" w:cs="Times New Roman"/>
          <w:sz w:val="24"/>
          <w:szCs w:val="24"/>
          <w:lang w:eastAsia="pt-BR"/>
        </w:rPr>
        <w:t xml:space="preserve">§ 5º No caso de constatação de falhas, erros ou irregularidades sanáveis, e sendo o alimento considerado próprio para o consumo, deverá o interessado ser notificado da </w:t>
      </w:r>
      <w:r w:rsidRPr="00EA7B05">
        <w:rPr>
          <w:rFonts w:ascii="Times New Roman" w:eastAsia="Times New Roman" w:hAnsi="Times New Roman" w:cs="Times New Roman"/>
          <w:sz w:val="24"/>
          <w:szCs w:val="24"/>
          <w:lang w:eastAsia="pt-BR"/>
        </w:rPr>
        <w:lastRenderedPageBreak/>
        <w:t xml:space="preserve">ocorrência, concedendo-se o prazo necessário para a devida correção, decorrido o qual proceder-se-á a nova análise de controle. Persistindo as falhas, erros ou irregularidade ficará o infrator sujeito às penalidades cabíveis. </w:t>
      </w:r>
    </w:p>
    <w:p w:rsidR="00EA7B05" w:rsidRPr="00EA7B05" w:rsidRDefault="00EA7B05" w:rsidP="00EA7B05">
      <w:pPr>
        <w:ind w:firstLine="1134"/>
        <w:rPr>
          <w:rFonts w:ascii="Times New Roman" w:eastAsia="Times New Roman" w:hAnsi="Times New Roman" w:cs="Times New Roman"/>
          <w:sz w:val="24"/>
          <w:szCs w:val="24"/>
          <w:lang w:eastAsia="pt-BR"/>
        </w:rPr>
      </w:pPr>
      <w:r w:rsidRPr="00EA7B05">
        <w:rPr>
          <w:rFonts w:ascii="Times New Roman" w:eastAsia="Times New Roman" w:hAnsi="Times New Roman" w:cs="Times New Roman"/>
          <w:sz w:val="24"/>
          <w:szCs w:val="24"/>
          <w:lang w:eastAsia="pt-BR"/>
        </w:rPr>
        <w:t>§ 6º Qualquer modificação, que implique em alteração de identidade, qualidade, tipo ou marca do alimento já registrado, deverá ser prèviamente comunicada ao órgão competente do Ministério da Saúde, procedendo-se a nova análise de contrôle, podendo ser mantido o número de registro anteriormente concedido.</w:t>
      </w:r>
    </w:p>
    <w:p w:rsidR="00EA7B05" w:rsidRPr="00EA7B05" w:rsidRDefault="00EA7B05" w:rsidP="00EA7B05">
      <w:pPr>
        <w:rPr>
          <w:rFonts w:ascii="Times New Roman" w:eastAsia="Times New Roman" w:hAnsi="Times New Roman" w:cs="Times New Roman"/>
          <w:sz w:val="24"/>
          <w:szCs w:val="24"/>
          <w:lang w:eastAsia="pt-BR"/>
        </w:rPr>
      </w:pPr>
      <w:r w:rsidRPr="00EA7B05">
        <w:rPr>
          <w:rFonts w:ascii="Times New Roman" w:eastAsia="Times New Roman" w:hAnsi="Times New Roman" w:cs="Times New Roman"/>
          <w:sz w:val="24"/>
          <w:szCs w:val="24"/>
          <w:lang w:eastAsia="pt-BR"/>
        </w:rPr>
        <w:t>..............................................................................................................................................................................................................................................................................................................</w:t>
      </w:r>
    </w:p>
    <w:p w:rsidR="00EA7B05" w:rsidRPr="00EA7B05" w:rsidRDefault="00EA7B05" w:rsidP="00EA7B05">
      <w:pPr>
        <w:jc w:val="left"/>
        <w:rPr>
          <w:rFonts w:ascii="Times New Roman" w:eastAsia="Times New Roman" w:hAnsi="Times New Roman" w:cs="Times New Roman"/>
          <w:szCs w:val="20"/>
          <w:lang w:eastAsia="pt-BR"/>
        </w:rPr>
      </w:pPr>
    </w:p>
    <w:p w:rsidR="00EA7B05" w:rsidRPr="00EA7B05" w:rsidRDefault="00EA7B05" w:rsidP="00EA7B05">
      <w:pPr>
        <w:pBdr>
          <w:top w:val="single" w:sz="4" w:space="1" w:color="auto"/>
          <w:left w:val="single" w:sz="4" w:space="4" w:color="auto"/>
          <w:bottom w:val="single" w:sz="4" w:space="1" w:color="auto"/>
          <w:right w:val="single" w:sz="4" w:space="4" w:color="auto"/>
        </w:pBdr>
        <w:jc w:val="center"/>
        <w:rPr>
          <w:b/>
          <w:sz w:val="22"/>
        </w:rPr>
      </w:pPr>
      <w:bookmarkStart w:id="12" w:name="z996276_FIMDOCUMENTO"/>
      <w:bookmarkEnd w:id="1"/>
      <w:bookmarkEnd w:id="11"/>
      <w:r>
        <w:rPr>
          <w:b/>
          <w:sz w:val="22"/>
        </w:rPr>
        <w:t>FIM DO DOCUMENTO</w:t>
      </w:r>
      <w:bookmarkEnd w:id="12"/>
    </w:p>
    <w:sectPr w:rsidR="00EA7B05" w:rsidRPr="00EA7B05" w:rsidSect="00EA7B05">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5DD" w:rsidRDefault="005525DD" w:rsidP="00EA7B05">
      <w:r>
        <w:separator/>
      </w:r>
    </w:p>
  </w:endnote>
  <w:endnote w:type="continuationSeparator" w:id="0">
    <w:p w:rsidR="005525DD" w:rsidRDefault="005525DD" w:rsidP="00EA7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B05" w:rsidRDefault="00EA7B05" w:rsidP="00EA7B05">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EA7B05" w:rsidRDefault="00EA7B05" w:rsidP="00EA7B05">
    <w:pPr>
      <w:pStyle w:val="Rodap"/>
      <w:jc w:val="center"/>
      <w:rPr>
        <w:rFonts w:ascii="Courier New" w:hAnsi="Courier New" w:cs="Courier New"/>
      </w:rPr>
    </w:pPr>
    <w:r>
      <w:rPr>
        <w:rFonts w:ascii="Courier New" w:hAnsi="Courier New" w:cs="Courier New"/>
      </w:rPr>
      <w:t>CONFERE COM O ORIGINAL AUTENTICADO</w:t>
    </w:r>
  </w:p>
  <w:p w:rsidR="00EA7B05" w:rsidRPr="00EA7B05" w:rsidRDefault="00EA7B05" w:rsidP="00EA7B05">
    <w:pPr>
      <w:pStyle w:val="Rodap"/>
      <w:jc w:val="center"/>
    </w:pPr>
    <w:r>
      <w:t>PL 652/2015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B05" w:rsidRDefault="00EA7B05" w:rsidP="00EA7B05">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EA7B05" w:rsidRDefault="00EA7B05" w:rsidP="00EA7B05">
    <w:pPr>
      <w:pStyle w:val="Rodap"/>
      <w:jc w:val="center"/>
      <w:rPr>
        <w:rFonts w:ascii="Courier New" w:hAnsi="Courier New" w:cs="Courier New"/>
      </w:rPr>
    </w:pPr>
    <w:r>
      <w:rPr>
        <w:rFonts w:ascii="Courier New" w:hAnsi="Courier New" w:cs="Courier New"/>
      </w:rPr>
      <w:t>CONFERE COM O ORIGINAL AUTENTICADO</w:t>
    </w:r>
  </w:p>
  <w:p w:rsidR="00EA7B05" w:rsidRPr="00EA7B05" w:rsidRDefault="00EA7B05" w:rsidP="00EA7B05">
    <w:pPr>
      <w:pStyle w:val="Rodap"/>
      <w:jc w:val="center"/>
    </w:pPr>
    <w:r>
      <w:t>PL 652/2015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B05" w:rsidRDefault="00EA7B05" w:rsidP="00EA7B05">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EA7B05" w:rsidRPr="00EA7B05" w:rsidRDefault="00EA7B05" w:rsidP="00EA7B05">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5DD" w:rsidRDefault="005525DD" w:rsidP="00EA7B05">
      <w:r>
        <w:separator/>
      </w:r>
    </w:p>
  </w:footnote>
  <w:footnote w:type="continuationSeparator" w:id="0">
    <w:p w:rsidR="005525DD" w:rsidRDefault="005525DD" w:rsidP="00EA7B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B05" w:rsidRPr="00EA7B05" w:rsidRDefault="00EA7B05" w:rsidP="00EA7B05">
    <w:pPr>
      <w:pStyle w:val="Cabealho"/>
      <w:jc w:val="left"/>
    </w:pPr>
    <w:r>
      <w:fldChar w:fldCharType="begin"/>
    </w:r>
    <w:r>
      <w:instrText xml:space="preserve"> PAGE  \* Arabic  \* MERGEFORMAT </w:instrText>
    </w:r>
    <w:r>
      <w:fldChar w:fldCharType="separate"/>
    </w:r>
    <w:r w:rsidR="00DC62D2">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B05" w:rsidRPr="00EA7B05" w:rsidRDefault="00EA7B05" w:rsidP="00EA7B05">
    <w:pPr>
      <w:pStyle w:val="Cabealho"/>
      <w:jc w:val="right"/>
    </w:pPr>
    <w:r>
      <w:fldChar w:fldCharType="begin"/>
    </w:r>
    <w:r>
      <w:instrText xml:space="preserve"> PAGE  \* Arabic  \* MERGEFORMAT </w:instrText>
    </w:r>
    <w:r>
      <w:fldChar w:fldCharType="separate"/>
    </w:r>
    <w:r w:rsidR="00DC62D2">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B05"/>
    <w:rsid w:val="005525DD"/>
    <w:rsid w:val="00665EAF"/>
    <w:rsid w:val="00CC7169"/>
    <w:rsid w:val="00D6315C"/>
    <w:rsid w:val="00DC62D2"/>
    <w:rsid w:val="00EA7B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A7B05"/>
    <w:rPr>
      <w:rFonts w:ascii="Tahoma" w:hAnsi="Tahoma" w:cs="Tahoma"/>
      <w:sz w:val="16"/>
      <w:szCs w:val="16"/>
    </w:rPr>
  </w:style>
  <w:style w:type="character" w:customStyle="1" w:styleId="TextodebaloChar">
    <w:name w:val="Texto de balão Char"/>
    <w:basedOn w:val="Fontepargpadro"/>
    <w:link w:val="Textodebalo"/>
    <w:uiPriority w:val="99"/>
    <w:semiHidden/>
    <w:rsid w:val="00EA7B05"/>
    <w:rPr>
      <w:rFonts w:ascii="Tahoma" w:hAnsi="Tahoma" w:cs="Tahoma"/>
      <w:sz w:val="16"/>
      <w:szCs w:val="16"/>
    </w:rPr>
  </w:style>
  <w:style w:type="paragraph" w:styleId="Cabealho">
    <w:name w:val="header"/>
    <w:basedOn w:val="Normal"/>
    <w:link w:val="CabealhoChar"/>
    <w:uiPriority w:val="99"/>
    <w:unhideWhenUsed/>
    <w:rsid w:val="00EA7B05"/>
    <w:pPr>
      <w:tabs>
        <w:tab w:val="center" w:pos="4252"/>
        <w:tab w:val="right" w:pos="8504"/>
      </w:tabs>
    </w:pPr>
  </w:style>
  <w:style w:type="character" w:customStyle="1" w:styleId="CabealhoChar">
    <w:name w:val="Cabeçalho Char"/>
    <w:basedOn w:val="Fontepargpadro"/>
    <w:link w:val="Cabealho"/>
    <w:uiPriority w:val="99"/>
    <w:rsid w:val="00EA7B05"/>
    <w:rPr>
      <w:rFonts w:ascii="Arial" w:hAnsi="Arial" w:cs="Arial"/>
      <w:sz w:val="20"/>
    </w:rPr>
  </w:style>
  <w:style w:type="paragraph" w:styleId="Rodap">
    <w:name w:val="footer"/>
    <w:basedOn w:val="Normal"/>
    <w:link w:val="RodapChar"/>
    <w:uiPriority w:val="99"/>
    <w:unhideWhenUsed/>
    <w:rsid w:val="00EA7B05"/>
    <w:pPr>
      <w:tabs>
        <w:tab w:val="center" w:pos="4252"/>
        <w:tab w:val="right" w:pos="8504"/>
      </w:tabs>
    </w:pPr>
  </w:style>
  <w:style w:type="character" w:customStyle="1" w:styleId="RodapChar">
    <w:name w:val="Rodapé Char"/>
    <w:basedOn w:val="Fontepargpadro"/>
    <w:link w:val="Rodap"/>
    <w:uiPriority w:val="99"/>
    <w:rsid w:val="00EA7B05"/>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A7B05"/>
    <w:rPr>
      <w:rFonts w:ascii="Tahoma" w:hAnsi="Tahoma" w:cs="Tahoma"/>
      <w:sz w:val="16"/>
      <w:szCs w:val="16"/>
    </w:rPr>
  </w:style>
  <w:style w:type="character" w:customStyle="1" w:styleId="TextodebaloChar">
    <w:name w:val="Texto de balão Char"/>
    <w:basedOn w:val="Fontepargpadro"/>
    <w:link w:val="Textodebalo"/>
    <w:uiPriority w:val="99"/>
    <w:semiHidden/>
    <w:rsid w:val="00EA7B05"/>
    <w:rPr>
      <w:rFonts w:ascii="Tahoma" w:hAnsi="Tahoma" w:cs="Tahoma"/>
      <w:sz w:val="16"/>
      <w:szCs w:val="16"/>
    </w:rPr>
  </w:style>
  <w:style w:type="paragraph" w:styleId="Cabealho">
    <w:name w:val="header"/>
    <w:basedOn w:val="Normal"/>
    <w:link w:val="CabealhoChar"/>
    <w:uiPriority w:val="99"/>
    <w:unhideWhenUsed/>
    <w:rsid w:val="00EA7B05"/>
    <w:pPr>
      <w:tabs>
        <w:tab w:val="center" w:pos="4252"/>
        <w:tab w:val="right" w:pos="8504"/>
      </w:tabs>
    </w:pPr>
  </w:style>
  <w:style w:type="character" w:customStyle="1" w:styleId="CabealhoChar">
    <w:name w:val="Cabeçalho Char"/>
    <w:basedOn w:val="Fontepargpadro"/>
    <w:link w:val="Cabealho"/>
    <w:uiPriority w:val="99"/>
    <w:rsid w:val="00EA7B05"/>
    <w:rPr>
      <w:rFonts w:ascii="Arial" w:hAnsi="Arial" w:cs="Arial"/>
      <w:sz w:val="20"/>
    </w:rPr>
  </w:style>
  <w:style w:type="paragraph" w:styleId="Rodap">
    <w:name w:val="footer"/>
    <w:basedOn w:val="Normal"/>
    <w:link w:val="RodapChar"/>
    <w:uiPriority w:val="99"/>
    <w:unhideWhenUsed/>
    <w:rsid w:val="00EA7B05"/>
    <w:pPr>
      <w:tabs>
        <w:tab w:val="center" w:pos="4252"/>
        <w:tab w:val="right" w:pos="8504"/>
      </w:tabs>
    </w:pPr>
  </w:style>
  <w:style w:type="character" w:customStyle="1" w:styleId="RodapChar">
    <w:name w:val="Rodapé Char"/>
    <w:basedOn w:val="Fontepargpadro"/>
    <w:link w:val="Rodap"/>
    <w:uiPriority w:val="99"/>
    <w:rsid w:val="00EA7B05"/>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828</Words>
  <Characters>5335</Characters>
  <Application>Microsoft Office Word</Application>
  <DocSecurity>0</DocSecurity>
  <Lines>136</Lines>
  <Paragraphs>57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6106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2015-03-18T20:15:00Z</dcterms:created>
  <dcterms:modified xsi:type="dcterms:W3CDTF">2015-03-18T21:42:00Z</dcterms:modified>
</cp:coreProperties>
</file>