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244" w:rsidRDefault="00832817" w:rsidP="00AF6244">
      <w:pPr>
        <w:jc w:val="center"/>
      </w:pPr>
      <w:bookmarkStart w:id="0" w:name="z949287_BRASAO"/>
      <w:bookmarkStart w:id="1" w:name="z94928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817" w:rsidRPr="00832817" w:rsidRDefault="00832817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832817">
                              <w:rPr>
                                <w:rFonts w:ascii="3 of 9 Barcode" w:hAnsi="3 of 9 Barcode"/>
                                <w:sz w:val="34"/>
                              </w:rPr>
                              <w:t>*C0051620A*</w:t>
                            </w:r>
                            <w:bookmarkStart w:id="2" w:name="_GoBack"/>
                          </w:p>
                          <w:bookmarkEnd w:id="2"/>
                          <w:p w:rsidR="00832817" w:rsidRPr="00832817" w:rsidRDefault="0083281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C0051620A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832817" w:rsidRPr="00832817" w:rsidRDefault="00832817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832817">
                        <w:rPr>
                          <w:rFonts w:ascii="3 of 9 Barcode" w:hAnsi="3 of 9 Barcode"/>
                          <w:sz w:val="34"/>
                        </w:rPr>
                        <w:t>*C0051620A*</w:t>
                      </w:r>
                      <w:bookmarkStart w:id="3" w:name="_GoBack"/>
                    </w:p>
                    <w:bookmarkEnd w:id="3"/>
                    <w:p w:rsidR="00832817" w:rsidRPr="00832817" w:rsidRDefault="0083281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C0051620A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6244">
        <w:rPr>
          <w:noProof/>
          <w:lang w:eastAsia="pt-BR"/>
        </w:rPr>
        <w:drawing>
          <wp:inline distT="0" distB="0" distL="0" distR="0" wp14:anchorId="1B50155F" wp14:editId="6A50957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244" w:rsidRDefault="00AF6244" w:rsidP="00AF624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F6244" w:rsidRDefault="00AF6244" w:rsidP="00AF6244">
      <w:pPr>
        <w:rPr>
          <w:sz w:val="24"/>
        </w:rPr>
      </w:pPr>
    </w:p>
    <w:p w:rsidR="00AF6244" w:rsidRPr="00AF6244" w:rsidRDefault="00AF6244" w:rsidP="00AF6244">
      <w:pPr>
        <w:keepNext/>
        <w:keepLines/>
        <w:jc w:val="center"/>
        <w:rPr>
          <w:b/>
          <w:sz w:val="44"/>
        </w:rPr>
      </w:pPr>
      <w:bookmarkStart w:id="4" w:name="z949287_TITULO"/>
      <w:r>
        <w:rPr>
          <w:b/>
          <w:sz w:val="44"/>
        </w:rPr>
        <w:t>PROJETO DE LEI N.º 504, DE 2015</w:t>
      </w:r>
      <w:bookmarkEnd w:id="4"/>
    </w:p>
    <w:p w:rsidR="00AF6244" w:rsidRDefault="00AF6244" w:rsidP="00AF6244">
      <w:pPr>
        <w:keepLines/>
        <w:jc w:val="center"/>
        <w:rPr>
          <w:b/>
          <w:sz w:val="28"/>
        </w:rPr>
      </w:pPr>
      <w:bookmarkStart w:id="5" w:name="z949287_AUTOR"/>
      <w:r>
        <w:rPr>
          <w:b/>
          <w:sz w:val="28"/>
        </w:rPr>
        <w:t>(Do Sr. Diego Garcia)</w:t>
      </w:r>
      <w:bookmarkEnd w:id="5"/>
    </w:p>
    <w:p w:rsidR="00AF6244" w:rsidRDefault="00AF6244" w:rsidP="00AF6244">
      <w:pPr>
        <w:keepLines/>
        <w:jc w:val="center"/>
        <w:rPr>
          <w:b/>
          <w:sz w:val="28"/>
        </w:rPr>
      </w:pPr>
    </w:p>
    <w:p w:rsidR="00AF6244" w:rsidRDefault="00AF6244" w:rsidP="00AF6244">
      <w:pPr>
        <w:rPr>
          <w:sz w:val="28"/>
        </w:rPr>
      </w:pPr>
      <w:bookmarkStart w:id="6" w:name="z949287_EMENTA"/>
      <w:r>
        <w:rPr>
          <w:sz w:val="28"/>
        </w:rPr>
        <w:t>Altera a Lei nº 7.102, de 20 de junho de 1983, estabelecendo a necessidade de isolamento físico entre guichês de atendimento.</w:t>
      </w:r>
      <w:bookmarkEnd w:id="6"/>
    </w:p>
    <w:p w:rsidR="00AF6244" w:rsidRDefault="00AF6244" w:rsidP="00AF6244">
      <w:pPr>
        <w:rPr>
          <w:sz w:val="28"/>
        </w:rPr>
      </w:pP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9287_DESPACHO"/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AO PL 5101/2009. </w:t>
      </w: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9287_APRECIACAO"/>
      <w:bookmarkEnd w:id="7"/>
      <w:r>
        <w:rPr>
          <w:b/>
          <w:sz w:val="28"/>
        </w:rPr>
        <w:t>APRECIAÇÃO:</w:t>
      </w: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AF6244" w:rsidRDefault="00AF6244" w:rsidP="00AF6244">
      <w:pPr>
        <w:rPr>
          <w:sz w:val="28"/>
        </w:rPr>
      </w:pPr>
    </w:p>
    <w:p w:rsidR="00AF6244" w:rsidRDefault="00AF6244" w:rsidP="00AF6244">
      <w:pPr>
        <w:jc w:val="center"/>
        <w:rPr>
          <w:b/>
          <w:sz w:val="28"/>
        </w:rPr>
      </w:pPr>
      <w:bookmarkStart w:id="9" w:name="z949287_PUBINICIAL"/>
      <w:r>
        <w:rPr>
          <w:b/>
          <w:sz w:val="28"/>
        </w:rPr>
        <w:t>PUBLICAÇÃO INICIAL</w:t>
      </w:r>
    </w:p>
    <w:p w:rsidR="00AF6244" w:rsidRDefault="00AF6244" w:rsidP="00AF6244">
      <w:pPr>
        <w:jc w:val="center"/>
        <w:rPr>
          <w:b/>
        </w:rPr>
      </w:pPr>
      <w:r>
        <w:rPr>
          <w:b/>
        </w:rPr>
        <w:t>Art. 137, caput - RICD</w:t>
      </w:r>
    </w:p>
    <w:p w:rsidR="00AF6244" w:rsidRDefault="00AF6244" w:rsidP="00AF6244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AF6244" w:rsidRDefault="00AF6244" w:rsidP="00AF6244">
      <w:pPr>
        <w:rPr>
          <w:b/>
        </w:rPr>
      </w:pPr>
    </w:p>
    <w:p w:rsidR="00AF6244" w:rsidRPr="00F709B2" w:rsidRDefault="00AF6244" w:rsidP="00AF6244">
      <w:pPr>
        <w:spacing w:before="240" w:after="200" w:line="276" w:lineRule="auto"/>
        <w:ind w:left="4253"/>
        <w:rPr>
          <w:sz w:val="24"/>
          <w:szCs w:val="24"/>
        </w:rPr>
      </w:pPr>
      <w:bookmarkStart w:id="10" w:name="z949287_1304057_TEOR"/>
    </w:p>
    <w:p w:rsidR="00AF6244" w:rsidRPr="00F709B2" w:rsidRDefault="00AF6244" w:rsidP="00AF6244">
      <w:pPr>
        <w:spacing w:after="200" w:line="276" w:lineRule="auto"/>
        <w:ind w:firstLine="1418"/>
        <w:jc w:val="left"/>
        <w:rPr>
          <w:sz w:val="24"/>
          <w:szCs w:val="24"/>
        </w:rPr>
      </w:pPr>
      <w:r w:rsidRPr="00F709B2">
        <w:rPr>
          <w:sz w:val="24"/>
          <w:szCs w:val="24"/>
        </w:rPr>
        <w:t xml:space="preserve">O Congresso Nacional decreta: </w:t>
      </w:r>
    </w:p>
    <w:p w:rsidR="00AF6244" w:rsidRPr="00F709B2" w:rsidRDefault="00AF6244" w:rsidP="00AF6244">
      <w:pPr>
        <w:spacing w:afterLines="60" w:after="144" w:line="276" w:lineRule="auto"/>
        <w:ind w:firstLine="1418"/>
        <w:rPr>
          <w:sz w:val="24"/>
          <w:szCs w:val="24"/>
        </w:rPr>
      </w:pPr>
      <w:r w:rsidRPr="00F709B2">
        <w:rPr>
          <w:sz w:val="24"/>
          <w:szCs w:val="24"/>
        </w:rPr>
        <w:t>Art. 1º Esta Lei altera a Lei nº 7.102, de 20 de junho de 1983, estabelecendo a necessidade de isolamento físico entre guichês de atendimento dos estabelecimentos financeiros.</w:t>
      </w:r>
    </w:p>
    <w:p w:rsidR="00AF6244" w:rsidRPr="00F709B2" w:rsidRDefault="00AF6244" w:rsidP="00AF6244">
      <w:pPr>
        <w:spacing w:afterLines="60" w:after="144" w:line="276" w:lineRule="auto"/>
        <w:ind w:firstLine="1418"/>
        <w:rPr>
          <w:sz w:val="24"/>
          <w:szCs w:val="24"/>
        </w:rPr>
      </w:pPr>
      <w:r w:rsidRPr="00F709B2">
        <w:rPr>
          <w:sz w:val="24"/>
          <w:szCs w:val="24"/>
        </w:rPr>
        <w:t>Art. 2º O art. 2º da Lei nº 7.102, de 20 de junho de 1983, passa a vigorar com a seguinte redação:</w:t>
      </w:r>
    </w:p>
    <w:p w:rsidR="00AF6244" w:rsidRPr="00F709B2" w:rsidRDefault="00AF6244" w:rsidP="00AF6244">
      <w:pPr>
        <w:spacing w:afterLines="60" w:after="144" w:line="276" w:lineRule="auto"/>
        <w:ind w:left="1985"/>
        <w:rPr>
          <w:color w:val="000000"/>
          <w:sz w:val="24"/>
          <w:szCs w:val="24"/>
          <w:shd w:val="clear" w:color="auto" w:fill="FFFFFF"/>
        </w:rPr>
      </w:pPr>
      <w:r w:rsidRPr="00F709B2">
        <w:rPr>
          <w:sz w:val="24"/>
          <w:szCs w:val="24"/>
        </w:rPr>
        <w:t xml:space="preserve">“Art. 2º </w:t>
      </w:r>
      <w:r w:rsidRPr="00F709B2">
        <w:rPr>
          <w:color w:val="000000"/>
          <w:sz w:val="24"/>
          <w:szCs w:val="24"/>
          <w:shd w:val="clear" w:color="auto" w:fill="FFFFFF"/>
        </w:rPr>
        <w:t> O sistema de segurança a que se refere o art. 1º inclui:</w:t>
      </w:r>
    </w:p>
    <w:p w:rsidR="00AF6244" w:rsidRPr="00F709B2" w:rsidRDefault="00AF6244" w:rsidP="00AF6244">
      <w:pPr>
        <w:spacing w:afterLines="60" w:after="144" w:line="276" w:lineRule="auto"/>
        <w:ind w:left="1985"/>
        <w:rPr>
          <w:color w:val="000000"/>
          <w:sz w:val="24"/>
          <w:szCs w:val="24"/>
          <w:shd w:val="clear" w:color="auto" w:fill="FFFFFF"/>
        </w:rPr>
      </w:pPr>
      <w:r w:rsidRPr="00F709B2">
        <w:rPr>
          <w:color w:val="000000"/>
          <w:sz w:val="24"/>
          <w:szCs w:val="24"/>
          <w:shd w:val="clear" w:color="auto" w:fill="FFFFFF"/>
        </w:rPr>
        <w:t xml:space="preserve">I - pessoas adequadamente preparadas, assim chamadas vigilantes; </w:t>
      </w:r>
    </w:p>
    <w:p w:rsidR="00AF6244" w:rsidRPr="00F709B2" w:rsidRDefault="00AF6244" w:rsidP="00AF6244">
      <w:pPr>
        <w:spacing w:afterLines="60" w:after="144" w:line="276" w:lineRule="auto"/>
        <w:ind w:left="1985"/>
        <w:rPr>
          <w:color w:val="000000"/>
          <w:sz w:val="24"/>
          <w:szCs w:val="24"/>
          <w:shd w:val="clear" w:color="auto" w:fill="FFFFFF"/>
        </w:rPr>
      </w:pPr>
      <w:r w:rsidRPr="00F709B2">
        <w:rPr>
          <w:color w:val="000000"/>
          <w:sz w:val="24"/>
          <w:szCs w:val="24"/>
          <w:shd w:val="clear" w:color="auto" w:fill="FFFFFF"/>
        </w:rPr>
        <w:t xml:space="preserve">II - alarme capaz de permitir, com segurança, comunicação entre o estabelecimento financeiro e outro da mesma instituição, empresa de vigilância ou órgão policial mais próximo; </w:t>
      </w:r>
    </w:p>
    <w:p w:rsidR="00AF6244" w:rsidRPr="00F709B2" w:rsidRDefault="00AF6244" w:rsidP="00AF6244">
      <w:pPr>
        <w:spacing w:afterLines="60" w:after="144" w:line="276" w:lineRule="auto"/>
        <w:ind w:left="1985"/>
        <w:rPr>
          <w:color w:val="000000"/>
          <w:sz w:val="24"/>
          <w:szCs w:val="24"/>
          <w:shd w:val="clear" w:color="auto" w:fill="FFFFFF"/>
        </w:rPr>
      </w:pPr>
      <w:r w:rsidRPr="00F709B2">
        <w:rPr>
          <w:color w:val="000000"/>
          <w:sz w:val="24"/>
          <w:szCs w:val="24"/>
          <w:shd w:val="clear" w:color="auto" w:fill="FFFFFF"/>
        </w:rPr>
        <w:t xml:space="preserve">III – </w:t>
      </w:r>
      <w:r w:rsidRPr="00F709B2">
        <w:rPr>
          <w:sz w:val="24"/>
          <w:szCs w:val="24"/>
        </w:rPr>
        <w:t>isolamento físico entre os guichês de atendimento e entre estes e a área de espera de atendimento, de forma a impedir a visualização das operações realizadas pela pessoa atendida; e</w:t>
      </w:r>
    </w:p>
    <w:p w:rsidR="00AF6244" w:rsidRPr="00F709B2" w:rsidRDefault="00AF6244" w:rsidP="00AF6244">
      <w:pPr>
        <w:spacing w:afterLines="60" w:after="144" w:line="276" w:lineRule="auto"/>
        <w:ind w:left="1985"/>
        <w:rPr>
          <w:color w:val="000000"/>
          <w:sz w:val="24"/>
          <w:szCs w:val="24"/>
          <w:shd w:val="clear" w:color="auto" w:fill="FFFFFF"/>
        </w:rPr>
      </w:pPr>
      <w:r w:rsidRPr="00F709B2">
        <w:rPr>
          <w:color w:val="000000"/>
          <w:sz w:val="24"/>
          <w:szCs w:val="24"/>
          <w:shd w:val="clear" w:color="auto" w:fill="FFFFFF"/>
        </w:rPr>
        <w:t>IV - pelo menos, mais um dos seguintes dispositivos:</w:t>
      </w:r>
    </w:p>
    <w:p w:rsidR="00AF6244" w:rsidRPr="00F709B2" w:rsidRDefault="00AF6244" w:rsidP="00AF6244">
      <w:pPr>
        <w:numPr>
          <w:ilvl w:val="0"/>
          <w:numId w:val="1"/>
        </w:numPr>
        <w:spacing w:afterLines="60" w:after="144" w:line="276" w:lineRule="auto"/>
        <w:ind w:left="1985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9B2">
        <w:rPr>
          <w:rFonts w:eastAsia="Times New Roman"/>
          <w:color w:val="000000"/>
          <w:sz w:val="24"/>
          <w:szCs w:val="24"/>
          <w:lang w:eastAsia="pt-BR"/>
        </w:rPr>
        <w:t>equipamentos elétricos, eletrônicos e de filmagens que possibilitem a identificação dos assaltantes;</w:t>
      </w:r>
    </w:p>
    <w:p w:rsidR="00AF6244" w:rsidRPr="00F709B2" w:rsidRDefault="00AF6244" w:rsidP="00AF6244">
      <w:pPr>
        <w:numPr>
          <w:ilvl w:val="0"/>
          <w:numId w:val="1"/>
        </w:numPr>
        <w:spacing w:afterLines="60" w:after="144" w:line="276" w:lineRule="auto"/>
        <w:ind w:left="1985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9B2">
        <w:rPr>
          <w:rFonts w:eastAsia="Times New Roman"/>
          <w:color w:val="000000"/>
          <w:sz w:val="24"/>
          <w:szCs w:val="24"/>
          <w:lang w:eastAsia="pt-BR"/>
        </w:rPr>
        <w:t>artefatos que retardem a ação dos criminosos, permitindo sua perseguição, identificação ou captura; e</w:t>
      </w:r>
    </w:p>
    <w:p w:rsidR="00AF6244" w:rsidRPr="00F709B2" w:rsidRDefault="00AF6244" w:rsidP="00AF6244">
      <w:pPr>
        <w:numPr>
          <w:ilvl w:val="0"/>
          <w:numId w:val="1"/>
        </w:numPr>
        <w:spacing w:afterLines="60" w:after="144" w:line="276" w:lineRule="auto"/>
        <w:ind w:left="1985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09B2">
        <w:rPr>
          <w:rFonts w:eastAsia="Times New Roman"/>
          <w:color w:val="000000"/>
          <w:sz w:val="24"/>
          <w:szCs w:val="24"/>
          <w:lang w:eastAsia="pt-BR"/>
        </w:rPr>
        <w:t>cabine blindada com permanência ininterrupta de vigilante durante o expediente para o público e enquanto houver movimentação de numerário no interior do estabelecimento.</w:t>
      </w:r>
      <w:r w:rsidRPr="00F709B2">
        <w:rPr>
          <w:rFonts w:eastAsia="Times New Roman"/>
          <w:sz w:val="24"/>
          <w:szCs w:val="24"/>
          <w:lang w:eastAsia="pt-BR"/>
        </w:rPr>
        <w:t>” (NR)</w:t>
      </w:r>
    </w:p>
    <w:p w:rsidR="00AF6244" w:rsidRPr="00F709B2" w:rsidRDefault="00AF6244" w:rsidP="00AF6244">
      <w:pPr>
        <w:spacing w:afterLines="60" w:after="144" w:line="276" w:lineRule="auto"/>
        <w:ind w:firstLine="1418"/>
        <w:rPr>
          <w:sz w:val="24"/>
          <w:szCs w:val="24"/>
        </w:rPr>
      </w:pPr>
      <w:r w:rsidRPr="00F709B2">
        <w:rPr>
          <w:sz w:val="24"/>
          <w:szCs w:val="24"/>
        </w:rPr>
        <w:t>Art. 4º Os estabelecimentos financeiros terão o prazo de 180 (cento e oitenta) dias, a contar da data de publicação desta Lei, para o atendimento às suas disposições.</w:t>
      </w:r>
    </w:p>
    <w:p w:rsidR="00AF6244" w:rsidRDefault="00AF6244" w:rsidP="00AF6244">
      <w:pPr>
        <w:spacing w:afterLines="60" w:after="144" w:line="276" w:lineRule="auto"/>
        <w:ind w:firstLine="1418"/>
        <w:rPr>
          <w:sz w:val="24"/>
          <w:szCs w:val="24"/>
        </w:rPr>
      </w:pPr>
      <w:r w:rsidRPr="00F709B2">
        <w:rPr>
          <w:sz w:val="24"/>
          <w:szCs w:val="24"/>
        </w:rPr>
        <w:t>Art. 5º Esta Lei entra em vigor na data de sua publicação.</w:t>
      </w:r>
    </w:p>
    <w:p w:rsidR="00AF6244" w:rsidRPr="00F709B2" w:rsidRDefault="00AF6244" w:rsidP="00AF6244">
      <w:pPr>
        <w:spacing w:afterLines="60" w:after="144" w:line="276" w:lineRule="auto"/>
        <w:ind w:firstLine="1418"/>
        <w:rPr>
          <w:sz w:val="24"/>
          <w:szCs w:val="24"/>
        </w:rPr>
      </w:pPr>
    </w:p>
    <w:p w:rsidR="00AF6244" w:rsidRPr="00F709B2" w:rsidRDefault="00AF6244" w:rsidP="00AF6244">
      <w:pPr>
        <w:spacing w:after="200" w:line="276" w:lineRule="auto"/>
        <w:jc w:val="center"/>
        <w:rPr>
          <w:rFonts w:eastAsia="Times New Roman"/>
          <w:b/>
          <w:sz w:val="24"/>
          <w:szCs w:val="24"/>
          <w:lang w:eastAsia="pt-BR"/>
        </w:rPr>
      </w:pPr>
      <w:r w:rsidRPr="00F709B2">
        <w:rPr>
          <w:rFonts w:eastAsia="Times New Roman"/>
          <w:b/>
          <w:sz w:val="24"/>
          <w:szCs w:val="24"/>
          <w:lang w:eastAsia="pt-BR"/>
        </w:rPr>
        <w:t>JUSTIFICAÇÃO</w:t>
      </w:r>
    </w:p>
    <w:p w:rsidR="00AF6244" w:rsidRPr="00F709B2" w:rsidRDefault="00AF6244" w:rsidP="00AF6244">
      <w:pPr>
        <w:spacing w:after="280" w:line="420" w:lineRule="auto"/>
        <w:ind w:firstLine="709"/>
        <w:rPr>
          <w:rFonts w:eastAsia="Times New Roman"/>
          <w:sz w:val="24"/>
          <w:szCs w:val="24"/>
          <w:lang w:eastAsia="pt-BR"/>
        </w:rPr>
      </w:pPr>
      <w:r w:rsidRPr="00F709B2">
        <w:rPr>
          <w:rFonts w:eastAsia="Times New Roman"/>
          <w:sz w:val="24"/>
          <w:szCs w:val="24"/>
          <w:lang w:eastAsia="pt-BR"/>
        </w:rPr>
        <w:t xml:space="preserve">Os estabelecimentos financeiros vêm investindo em equipamentos de segurança para o controle do fluxo de pessoas em suas dependências, o que certamente contribui em muito para a prevenção de assaltos e outros crimes no </w:t>
      </w:r>
      <w:r w:rsidRPr="00F709B2">
        <w:rPr>
          <w:rFonts w:eastAsia="Times New Roman"/>
          <w:sz w:val="24"/>
          <w:szCs w:val="24"/>
          <w:lang w:eastAsia="pt-BR"/>
        </w:rPr>
        <w:lastRenderedPageBreak/>
        <w:t xml:space="preserve">interior dos estabelecimentos. Entretanto, tais medidas não têm se mostrado suficientes, pois parte dos crimes ocorre quando clientes ficam expostos à ação de bandidos justamente ao sair dos referidos estabelecimentos. </w:t>
      </w:r>
    </w:p>
    <w:p w:rsidR="00AF6244" w:rsidRPr="00F709B2" w:rsidRDefault="00AF6244" w:rsidP="00AF6244">
      <w:pPr>
        <w:spacing w:after="280" w:line="420" w:lineRule="auto"/>
        <w:ind w:firstLine="709"/>
        <w:rPr>
          <w:rFonts w:eastAsia="Times New Roman"/>
          <w:sz w:val="24"/>
          <w:szCs w:val="24"/>
          <w:lang w:eastAsia="pt-BR"/>
        </w:rPr>
      </w:pPr>
      <w:r w:rsidRPr="00F709B2">
        <w:rPr>
          <w:rFonts w:eastAsia="Times New Roman"/>
          <w:sz w:val="24"/>
          <w:szCs w:val="24"/>
          <w:lang w:eastAsia="pt-BR"/>
        </w:rPr>
        <w:t xml:space="preserve">Assim, adicionalmente ao já previsto na Lei nº 7.102, de 20 de junho de 1983, e no intuito de preservar a segurança dos clientes que retiram numerário dos bancos e de outros estabelecimentos financeiros, propomos que os guichês de atendimento possuam, obrigatoriamente, isolamento físico, de forma a impedir que as demais pessoas que esperam a sua vez possam observar as operações realizadas, especialmente a retirada de valores em espécie. </w:t>
      </w:r>
    </w:p>
    <w:p w:rsidR="00AF6244" w:rsidRPr="00F709B2" w:rsidRDefault="00AF6244" w:rsidP="00AF6244">
      <w:pPr>
        <w:spacing w:after="280" w:line="420" w:lineRule="auto"/>
        <w:ind w:firstLine="709"/>
        <w:rPr>
          <w:rFonts w:eastAsia="Times New Roman"/>
          <w:sz w:val="24"/>
          <w:szCs w:val="24"/>
          <w:lang w:eastAsia="pt-BR"/>
        </w:rPr>
      </w:pPr>
      <w:r w:rsidRPr="00F709B2">
        <w:rPr>
          <w:rFonts w:eastAsia="Times New Roman"/>
          <w:sz w:val="24"/>
          <w:szCs w:val="24"/>
          <w:lang w:eastAsia="pt-BR"/>
        </w:rPr>
        <w:t>Tal medida possui baixo custo de implantação, inclusive já tendo sido adotada por diversos estabelecimentos ao redor do país, e alta eficácia, pois a identificação da operação realizada pela vítima é condição necessária à prática da conduta criminosa, o que não mais, ou dificilmente, seria possível. Dessa forma, restaria prejudicada a atividade do bandido que repassa ao comparsa informações sobre a vítima, pois não seria possível visualizar o saque de recursos.</w:t>
      </w:r>
    </w:p>
    <w:p w:rsidR="00AF6244" w:rsidRPr="00F709B2" w:rsidRDefault="00AF6244" w:rsidP="00AF6244">
      <w:pPr>
        <w:spacing w:after="280" w:line="420" w:lineRule="auto"/>
        <w:ind w:firstLine="709"/>
        <w:rPr>
          <w:rFonts w:eastAsia="Times New Roman"/>
          <w:sz w:val="24"/>
          <w:szCs w:val="24"/>
          <w:lang w:eastAsia="pt-BR"/>
        </w:rPr>
      </w:pPr>
      <w:r w:rsidRPr="00F709B2">
        <w:rPr>
          <w:rFonts w:eastAsia="Times New Roman"/>
          <w:sz w:val="24"/>
          <w:szCs w:val="24"/>
          <w:lang w:eastAsia="pt-BR"/>
        </w:rPr>
        <w:t>Além disso, a aprovação da presente proposta dispensaria a inconveniente proibição da utilização de aparelhos celulares em estabelecimentos financeiros, medida adotada por diversos estados e municípios e objeto de vários projetos de lei. A nosso ver, tal restrição, além de gerar óbvio transtorno à grande maioria dos cidadãos que agem de boa-fé, possui baixa ineficácia, pois inúmeros dispositivos, tais como tablets, notebooks e até mesmo relógios inteligentes, podem ser utilizados por comparsas que pretendam se comunicar, de onde aduz-se que a legislação repressiva jamais acompanharia a evolução tecnológica que afeta a comunicação.</w:t>
      </w:r>
    </w:p>
    <w:p w:rsidR="00AF6244" w:rsidRDefault="00AF6244" w:rsidP="00AF6244">
      <w:pPr>
        <w:spacing w:after="280" w:line="420" w:lineRule="auto"/>
        <w:ind w:firstLine="709"/>
        <w:rPr>
          <w:rFonts w:eastAsia="Times New Roman"/>
          <w:sz w:val="24"/>
          <w:szCs w:val="24"/>
          <w:lang w:eastAsia="pt-BR"/>
        </w:rPr>
      </w:pPr>
      <w:r w:rsidRPr="00F709B2">
        <w:rPr>
          <w:rFonts w:eastAsia="Times New Roman"/>
          <w:sz w:val="24"/>
          <w:szCs w:val="24"/>
          <w:lang w:eastAsia="pt-BR"/>
        </w:rPr>
        <w:t xml:space="preserve">Contamos, portanto, com o valioso apoio dos nobres Parlamentares em favor da aprovação deste Projeto de Lei. </w:t>
      </w:r>
    </w:p>
    <w:p w:rsidR="00AF6244" w:rsidRPr="00F709B2" w:rsidRDefault="00AF6244" w:rsidP="00AF6244">
      <w:pPr>
        <w:spacing w:after="280" w:line="420" w:lineRule="auto"/>
        <w:ind w:firstLine="709"/>
        <w:rPr>
          <w:rFonts w:eastAsia="Times New Roman"/>
          <w:sz w:val="24"/>
          <w:szCs w:val="24"/>
          <w:lang w:eastAsia="pt-BR"/>
        </w:rPr>
      </w:pPr>
    </w:p>
    <w:p w:rsidR="00AF6244" w:rsidRPr="00F709B2" w:rsidRDefault="00AF6244" w:rsidP="00AF6244">
      <w:pPr>
        <w:spacing w:before="240" w:line="360" w:lineRule="auto"/>
        <w:jc w:val="right"/>
        <w:rPr>
          <w:rFonts w:eastAsia="Times New Roman"/>
          <w:sz w:val="24"/>
          <w:szCs w:val="24"/>
          <w:lang w:eastAsia="pt-BR"/>
        </w:rPr>
      </w:pPr>
      <w:r w:rsidRPr="00F709B2">
        <w:rPr>
          <w:rFonts w:eastAsia="Times New Roman"/>
          <w:sz w:val="24"/>
          <w:szCs w:val="24"/>
          <w:lang w:eastAsia="pt-BR"/>
        </w:rPr>
        <w:lastRenderedPageBreak/>
        <w:t xml:space="preserve">Sala das Sessões, em </w:t>
      </w:r>
      <w:r>
        <w:rPr>
          <w:rFonts w:eastAsia="Times New Roman"/>
          <w:sz w:val="24"/>
          <w:szCs w:val="24"/>
          <w:lang w:eastAsia="pt-BR"/>
        </w:rPr>
        <w:t>26</w:t>
      </w:r>
      <w:r w:rsidRPr="00F709B2">
        <w:rPr>
          <w:rFonts w:eastAsia="Times New Roman"/>
          <w:sz w:val="24"/>
          <w:szCs w:val="24"/>
          <w:lang w:eastAsia="pt-BR"/>
        </w:rPr>
        <w:t xml:space="preserve"> de fevereiro de 2015.</w:t>
      </w:r>
    </w:p>
    <w:p w:rsidR="00AF6244" w:rsidRDefault="00AF6244" w:rsidP="00AF6244">
      <w:pPr>
        <w:spacing w:before="240" w:line="276" w:lineRule="auto"/>
        <w:jc w:val="center"/>
        <w:rPr>
          <w:b/>
          <w:sz w:val="24"/>
          <w:szCs w:val="24"/>
        </w:rPr>
      </w:pPr>
    </w:p>
    <w:p w:rsidR="00AF6244" w:rsidRPr="00F709B2" w:rsidRDefault="00AF6244" w:rsidP="00AF6244">
      <w:pPr>
        <w:spacing w:before="240" w:line="276" w:lineRule="auto"/>
        <w:jc w:val="center"/>
        <w:rPr>
          <w:b/>
          <w:sz w:val="24"/>
          <w:szCs w:val="24"/>
        </w:rPr>
      </w:pPr>
      <w:r w:rsidRPr="00F709B2">
        <w:rPr>
          <w:b/>
          <w:sz w:val="24"/>
          <w:szCs w:val="24"/>
        </w:rPr>
        <w:t>Dep. Diego Garcia</w:t>
      </w:r>
    </w:p>
    <w:p w:rsidR="00AF6244" w:rsidRPr="00F709B2" w:rsidRDefault="00AF6244" w:rsidP="00AF6244">
      <w:pPr>
        <w:spacing w:line="276" w:lineRule="auto"/>
        <w:jc w:val="center"/>
        <w:rPr>
          <w:sz w:val="24"/>
          <w:szCs w:val="24"/>
        </w:rPr>
      </w:pPr>
      <w:r w:rsidRPr="00F709B2">
        <w:rPr>
          <w:b/>
          <w:sz w:val="24"/>
          <w:szCs w:val="24"/>
        </w:rPr>
        <w:t>PHS/PR</w:t>
      </w:r>
    </w:p>
    <w:p w:rsidR="00AF6244" w:rsidRDefault="00AF6244" w:rsidP="00AF6244">
      <w:pPr>
        <w:rPr>
          <w:sz w:val="24"/>
        </w:rPr>
      </w:pP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9287_LEGISLACAO"/>
      <w:bookmarkEnd w:id="10"/>
      <w:r>
        <w:rPr>
          <w:b/>
          <w:sz w:val="24"/>
        </w:rPr>
        <w:t>LEGISLAÇÃO CITADA ANEXADA PELA</w:t>
      </w:r>
    </w:p>
    <w:p w:rsid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AF6244" w:rsidRDefault="00AF6244" w:rsidP="00AF6244">
      <w:pPr>
        <w:jc w:val="center"/>
        <w:rPr>
          <w:b/>
          <w:sz w:val="24"/>
        </w:rPr>
      </w:pPr>
    </w:p>
    <w:p w:rsidR="00AF6244" w:rsidRPr="00F709B2" w:rsidRDefault="00AF6244" w:rsidP="00AF6244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7.102, DE 20 DE JUNHO DE 1983</w:t>
      </w:r>
    </w:p>
    <w:p w:rsidR="00AF6244" w:rsidRPr="00F709B2" w:rsidRDefault="00AF6244" w:rsidP="00AF6244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Dispõe sobre segurança para estabelecimentos financeiros, estabelece normas para constituição e funcionamento das empresas particulares que exploram serviços de vigilância e de transporte de valores, e dá outras providências. </w:t>
      </w:r>
    </w:p>
    <w:p w:rsidR="00AF6244" w:rsidRPr="00F709B2" w:rsidRDefault="00AF6244" w:rsidP="00AF6244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PRESIDENTE DA REPÚBLICA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 É vedado o funcionamento de qualquer estabelecimento financeiro onde haja guarda de valores ou movimentação de numerário, que não possua sistema de segurança com parecer favorável à sua aprovação, elaborado pelo Ministério da Justiça, na forma desta lei. </w:t>
      </w:r>
      <w:hyperlink r:id="rId9" w:history="1">
        <w:r w:rsidRPr="00F709B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pela Lei nº 9.017, de 30/3/1995)</w:t>
        </w:r>
      </w:hyperlink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Os estabelecimentos financeiros referidos neste artigo compreendem bancos oficiais ou privados, caixas econômicas, sociedades de crédito, associações de poupança, suas agências, postos de atendimento, subagências e seções, assim como as cooperativas singulares de crédito e suas respectivas dependências.  </w:t>
      </w:r>
      <w:hyperlink r:id="rId10" w:history="1">
        <w:r w:rsidRPr="00F709B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único transformado em § 1º e com nova redação dada pela Lei  nº 11.718, de 20/6/2008)</w:t>
        </w:r>
      </w:hyperlink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Poder Executivo estabelecerá, considerando a reduzida circulação financeira, requisitos próprios de segurança para as cooperativas singulares de crédito e suas dependências que contemplem, entre outros, os seguintes procedimentos: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dispensa de sistema de segurança para o estabelecimento de cooperativa singular de crédito que se situe dentro de qualquer edificação que possua estrutura de segurança instalada em conformidade com o art. 2º desta Lei;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necessidade de elaboração e aprovação de apenas um único plano de segurança por cooperativa singular de crédito, desde que detalhadas todas as suas dependências;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dispensa de contratação de vigilantes, caso isso inviabilize economicamente a existência do estabelecimento. </w:t>
      </w:r>
      <w:hyperlink r:id="rId11" w:history="1">
        <w:r w:rsidRPr="00F709B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 nº 11.718, de 20/6/2008)</w:t>
        </w:r>
      </w:hyperlink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Os processos administrativos em curso no âmbito do Departamento de Polícia Federal observarão os requisitos próprios de segurança para as cooperativas singulares de crédito e suas dependências. </w:t>
      </w:r>
      <w:hyperlink r:id="rId12" w:history="1">
        <w:r w:rsidRPr="00F709B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 nº 11.718, de 20/6/2008)</w:t>
        </w:r>
      </w:hyperlink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Art. 2º  O sistema de segurança referido no artigo anterior inclui pessoas adequadamente preparadas, assim chamadas vigilantes; alarme capaz de permitir, com segurança, comunicação entre o estabelecimento financeiro e outro da mesma instituição, empresa de vigilância ou órgão policial mais próximo; e, pelo menos, mais um dos seguintes dispositivos: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equipamentos elétricos, eletrônicos e de filmagens que possibilitem a identificação dos assaltantes;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artefatos que retardem a ação dos criminosos, permitindo sua perseguição, identificação ou captura; e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cabina blindada com permanência ininterrupta de vigilante durante o expediente para o público e enquanto houver movimentação de numerário no interior do estabelecimento.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</w:t>
      </w:r>
      <w:hyperlink r:id="rId13" w:history="1">
        <w:r w:rsidRPr="00F709B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(Revogado pela Lei nº 9.017, de 30/3/1995)</w:t>
        </w:r>
      </w:hyperlink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3º A vigilância ostensiva e o transporte de valores serão executados: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por empresa especializada contratada; ou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pelo próprio estabelecimento financeiro, desde que organizado e preparado para tal fim, com pessoal próprio, aprovado em curso de formação de vigilante autorizado pelo Ministério da Justiça e cujo sistema de segurança tenha parecer favorável à sua aprovação emitido pelo Ministério da Justiça. </w:t>
      </w:r>
    </w:p>
    <w:p w:rsidR="00AF6244" w:rsidRPr="00F709B2" w:rsidRDefault="00AF6244" w:rsidP="00AF6244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Nos estabelecimentos financeiros estaduais, o serviço de vigilância ostensiva poderá ser desempenhado pelas Polícias Militares, a critério do Governo da respectiva Unidade da Federação. </w:t>
      </w:r>
      <w:hyperlink r:id="rId14" w:history="1">
        <w:r w:rsidRPr="00F709B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com redação dada pela Lei nº 9.017, de 30/3/1995)</w:t>
        </w:r>
      </w:hyperlink>
    </w:p>
    <w:p w:rsidR="00AF6244" w:rsidRPr="00F709B2" w:rsidRDefault="00AF6244" w:rsidP="00AF6244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F709B2">
        <w:rPr>
          <w:rFonts w:ascii="Times New Roman" w:eastAsia="Times New Roman" w:hAnsi="Times New Roman" w:cs="Times New Roman"/>
          <w:sz w:val="24"/>
          <w:szCs w:val="20"/>
          <w:lang w:eastAsia="pt-BR"/>
        </w:rPr>
        <w:t>.</w:t>
      </w:r>
      <w:r w:rsidRPr="00F709B2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bookmarkEnd w:id="11"/>
    <w:p w:rsidR="0005754E" w:rsidRDefault="0005754E" w:rsidP="00AF6244"/>
    <w:p w:rsidR="00AF6244" w:rsidRDefault="00AF6244" w:rsidP="00AF6244">
      <w:bookmarkStart w:id="12" w:name="z949287_FIMDOCUMENTO"/>
    </w:p>
    <w:p w:rsidR="00AF6244" w:rsidRPr="00AF6244" w:rsidRDefault="00AF6244" w:rsidP="00AF6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F6244" w:rsidRPr="00AF6244" w:rsidSect="00AF6244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AA2" w:rsidRDefault="00D15AA2" w:rsidP="00AF6244">
      <w:r>
        <w:separator/>
      </w:r>
    </w:p>
  </w:endnote>
  <w:endnote w:type="continuationSeparator" w:id="0">
    <w:p w:rsidR="00D15AA2" w:rsidRDefault="00D15AA2" w:rsidP="00AF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44" w:rsidRDefault="00AF6244" w:rsidP="00AF62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AF6244" w:rsidRDefault="00AF6244" w:rsidP="00AF62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F6244" w:rsidRPr="00AF6244" w:rsidRDefault="00AF6244" w:rsidP="00AF6244">
    <w:pPr>
      <w:pStyle w:val="Rodap"/>
      <w:jc w:val="center"/>
    </w:pPr>
    <w:r>
      <w:t>PL 504/2015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44" w:rsidRDefault="00AF6244" w:rsidP="00AF62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AF6244" w:rsidRDefault="00AF6244" w:rsidP="00AF62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F6244" w:rsidRPr="00AF6244" w:rsidRDefault="00AF6244" w:rsidP="00AF6244">
    <w:pPr>
      <w:pStyle w:val="Rodap"/>
      <w:jc w:val="center"/>
    </w:pPr>
    <w:r>
      <w:t>PL 504/2015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44" w:rsidRDefault="00AF6244" w:rsidP="00AF62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AF6244" w:rsidRPr="00AF6244" w:rsidRDefault="00AF6244" w:rsidP="00AF62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AA2" w:rsidRDefault="00D15AA2" w:rsidP="00AF6244">
      <w:r>
        <w:separator/>
      </w:r>
    </w:p>
  </w:footnote>
  <w:footnote w:type="continuationSeparator" w:id="0">
    <w:p w:rsidR="00D15AA2" w:rsidRDefault="00D15AA2" w:rsidP="00AF6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44" w:rsidRPr="00AF6244" w:rsidRDefault="00AF6244" w:rsidP="00AF624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3281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44" w:rsidRPr="00AF6244" w:rsidRDefault="00AF6244" w:rsidP="00AF624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32817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5E3F"/>
    <w:multiLevelType w:val="hybridMultilevel"/>
    <w:tmpl w:val="400EC270"/>
    <w:lvl w:ilvl="0" w:tplc="DC007A0A">
      <w:start w:val="1"/>
      <w:numFmt w:val="lowerLetter"/>
      <w:lvlText w:val="%1)"/>
      <w:lvlJc w:val="left"/>
      <w:pPr>
        <w:ind w:left="29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632" w:hanging="360"/>
      </w:pPr>
    </w:lvl>
    <w:lvl w:ilvl="2" w:tplc="0416001B" w:tentative="1">
      <w:start w:val="1"/>
      <w:numFmt w:val="lowerRoman"/>
      <w:lvlText w:val="%3."/>
      <w:lvlJc w:val="right"/>
      <w:pPr>
        <w:ind w:left="4352" w:hanging="180"/>
      </w:pPr>
    </w:lvl>
    <w:lvl w:ilvl="3" w:tplc="0416000F" w:tentative="1">
      <w:start w:val="1"/>
      <w:numFmt w:val="decimal"/>
      <w:lvlText w:val="%4."/>
      <w:lvlJc w:val="left"/>
      <w:pPr>
        <w:ind w:left="5072" w:hanging="360"/>
      </w:pPr>
    </w:lvl>
    <w:lvl w:ilvl="4" w:tplc="04160019" w:tentative="1">
      <w:start w:val="1"/>
      <w:numFmt w:val="lowerLetter"/>
      <w:lvlText w:val="%5."/>
      <w:lvlJc w:val="left"/>
      <w:pPr>
        <w:ind w:left="5792" w:hanging="360"/>
      </w:pPr>
    </w:lvl>
    <w:lvl w:ilvl="5" w:tplc="0416001B" w:tentative="1">
      <w:start w:val="1"/>
      <w:numFmt w:val="lowerRoman"/>
      <w:lvlText w:val="%6."/>
      <w:lvlJc w:val="right"/>
      <w:pPr>
        <w:ind w:left="6512" w:hanging="180"/>
      </w:pPr>
    </w:lvl>
    <w:lvl w:ilvl="6" w:tplc="0416000F" w:tentative="1">
      <w:start w:val="1"/>
      <w:numFmt w:val="decimal"/>
      <w:lvlText w:val="%7."/>
      <w:lvlJc w:val="left"/>
      <w:pPr>
        <w:ind w:left="7232" w:hanging="360"/>
      </w:pPr>
    </w:lvl>
    <w:lvl w:ilvl="7" w:tplc="04160019" w:tentative="1">
      <w:start w:val="1"/>
      <w:numFmt w:val="lowerLetter"/>
      <w:lvlText w:val="%8."/>
      <w:lvlJc w:val="left"/>
      <w:pPr>
        <w:ind w:left="7952" w:hanging="360"/>
      </w:pPr>
    </w:lvl>
    <w:lvl w:ilvl="8" w:tplc="0416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244"/>
    <w:rsid w:val="0005754E"/>
    <w:rsid w:val="0041681F"/>
    <w:rsid w:val="00832817"/>
    <w:rsid w:val="00AF6244"/>
    <w:rsid w:val="00C27681"/>
    <w:rsid w:val="00D1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62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624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F6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624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F6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624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62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624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F6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624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F6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624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2.camara.gov.br/internet/legislacao/legin.html/textos/visualizarTexto.html?ideNorma=372235&amp;seqTexto=1&amp;PalavrasDestaque=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2.camara.gov.br/internet/legislacao/legin.html/textos/visualizarTexto.html?ideNorma=576871&amp;seqTexto=99988&amp;PalavrasDestaque=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2.camara.gov.br/internet/legislacao/legin.html/textos/visualizarTexto.html?ideNorma=576871&amp;seqTexto=99988&amp;PalavrasDestaque=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2.camara.gov.br/internet/legislacao/legin.html/textos/visualizarTexto.html?ideNorma=576871&amp;seqTexto=99988&amp;PalavrasDestaque=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2.camara.gov.br/internet/legislacao/legin.html/textos/visualizarTexto.html?ideNorma=372235&amp;seqTexto=1&amp;PalavrasDestaque=" TargetMode="External"/><Relationship Id="rId14" Type="http://schemas.openxmlformats.org/officeDocument/2006/relationships/hyperlink" Target="http://www2.camara.gov.br/internet/legislacao/legin.html/textos/visualizarTexto.html?ideNorma=372235&amp;seqTexto=1&amp;PalavrasDestaque=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1294</Words>
  <Characters>7705</Characters>
  <Application>Microsoft Office Word</Application>
  <DocSecurity>0</DocSecurity>
  <Lines>175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2015-03-16T19:32:00Z</dcterms:created>
  <dcterms:modified xsi:type="dcterms:W3CDTF">2015-03-16T21:05:00Z</dcterms:modified>
</cp:coreProperties>
</file>