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ABF" w:rsidRDefault="00C3328A" w:rsidP="00286DAE">
      <w:pPr>
        <w:jc w:val="center"/>
      </w:pPr>
      <w:bookmarkStart w:id="0" w:name="z947612_BRASAO"/>
      <w:bookmarkStart w:id="1" w:name="z947612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C3328A" w:rsidRPr="00C3328A" w:rsidRDefault="00C3328A">
                            <w:pPr>
                              <w:rPr>
                                <w:rFonts w:ascii="Times New Roman" w:hAnsi="Times New Roman" w:cs="Times New Roman"/>
                                <w:sz w:val="34"/>
                              </w:rPr>
                            </w:pPr>
                            <w:r w:rsidRPr="00C3328A">
                              <w:rPr>
                                <w:rFonts w:ascii="3 of 9 Barcode" w:hAnsi="3 of 9 Barcode"/>
                                <w:sz w:val="34"/>
                              </w:rPr>
                              <w:t>*C0051617A*</w:t>
                            </w:r>
                            <w:bookmarkStart w:id="2" w:name="_GoBack"/>
                          </w:p>
                          <w:bookmarkEnd w:id="2"/>
                          <w:p w:rsidR="00C3328A" w:rsidRPr="00C3328A" w:rsidRDefault="00C3328A">
                            <w:pPr>
                              <w:rPr>
                                <w:rFonts w:ascii="Times New Roman" w:hAnsi="Times New Roman" w:cs="Times New Roman"/>
                              </w:rPr>
                            </w:pPr>
                            <w:r>
                              <w:rPr>
                                <w:rFonts w:ascii="Times New Roman" w:hAnsi="Times New Roman" w:cs="Times New Roman"/>
                              </w:rPr>
                              <w:t>C0051617A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C3328A" w:rsidRPr="00C3328A" w:rsidRDefault="00C3328A">
                      <w:pPr>
                        <w:rPr>
                          <w:rFonts w:ascii="Times New Roman" w:hAnsi="Times New Roman" w:cs="Times New Roman"/>
                          <w:sz w:val="34"/>
                        </w:rPr>
                      </w:pPr>
                      <w:r w:rsidRPr="00C3328A">
                        <w:rPr>
                          <w:rFonts w:ascii="3 of 9 Barcode" w:hAnsi="3 of 9 Barcode"/>
                          <w:sz w:val="34"/>
                        </w:rPr>
                        <w:t>*C0051617A*</w:t>
                      </w:r>
                      <w:bookmarkStart w:id="3" w:name="_GoBack"/>
                    </w:p>
                    <w:bookmarkEnd w:id="3"/>
                    <w:p w:rsidR="00C3328A" w:rsidRPr="00C3328A" w:rsidRDefault="00C3328A">
                      <w:pPr>
                        <w:rPr>
                          <w:rFonts w:ascii="Times New Roman" w:hAnsi="Times New Roman" w:cs="Times New Roman"/>
                        </w:rPr>
                      </w:pPr>
                      <w:r>
                        <w:rPr>
                          <w:rFonts w:ascii="Times New Roman" w:hAnsi="Times New Roman" w:cs="Times New Roman"/>
                        </w:rPr>
                        <w:t>C0051617A</w:t>
                      </w:r>
                    </w:p>
                  </w:txbxContent>
                </v:textbox>
                <w10:wrap anchorx="page" anchory="page"/>
              </v:shape>
            </w:pict>
          </mc:Fallback>
        </mc:AlternateContent>
      </w:r>
      <w:r w:rsidR="00286DAE">
        <w:rPr>
          <w:noProof/>
          <w:lang w:eastAsia="pt-BR"/>
        </w:rPr>
        <w:drawing>
          <wp:inline distT="0" distB="0" distL="0" distR="0" wp14:anchorId="34241A4C" wp14:editId="6811B332">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286DAE" w:rsidRDefault="00286DAE" w:rsidP="00286DAE">
      <w:pPr>
        <w:jc w:val="center"/>
        <w:rPr>
          <w:b/>
          <w:sz w:val="24"/>
        </w:rPr>
      </w:pPr>
      <w:r>
        <w:rPr>
          <w:b/>
          <w:sz w:val="24"/>
        </w:rPr>
        <w:t>CÂMARA DOS DEPUTADOS</w:t>
      </w:r>
    </w:p>
    <w:bookmarkEnd w:id="0"/>
    <w:p w:rsidR="00286DAE" w:rsidRDefault="00286DAE" w:rsidP="00286DAE">
      <w:pPr>
        <w:rPr>
          <w:sz w:val="24"/>
        </w:rPr>
      </w:pPr>
    </w:p>
    <w:p w:rsidR="00286DAE" w:rsidRDefault="00286DAE" w:rsidP="00286DAE">
      <w:pPr>
        <w:keepNext/>
        <w:keepLines/>
        <w:jc w:val="center"/>
        <w:rPr>
          <w:b/>
          <w:sz w:val="44"/>
        </w:rPr>
      </w:pPr>
      <w:bookmarkStart w:id="4" w:name="z947612_TITULO"/>
      <w:r>
        <w:rPr>
          <w:b/>
          <w:sz w:val="44"/>
        </w:rPr>
        <w:t>PROJETO DE LEI N.º 391, DE 2015</w:t>
      </w:r>
      <w:bookmarkEnd w:id="4"/>
    </w:p>
    <w:p w:rsidR="00286DAE" w:rsidRDefault="00286DAE" w:rsidP="00286DAE">
      <w:pPr>
        <w:keepLines/>
        <w:jc w:val="center"/>
        <w:rPr>
          <w:b/>
          <w:sz w:val="28"/>
        </w:rPr>
      </w:pPr>
      <w:bookmarkStart w:id="5" w:name="z947612_AUTOR"/>
      <w:r>
        <w:rPr>
          <w:b/>
          <w:sz w:val="28"/>
        </w:rPr>
        <w:t>(Do Sr. Lelo Coimbra)</w:t>
      </w:r>
      <w:bookmarkEnd w:id="5"/>
    </w:p>
    <w:p w:rsidR="00286DAE" w:rsidRDefault="00286DAE" w:rsidP="00286DAE">
      <w:pPr>
        <w:keepLines/>
        <w:jc w:val="center"/>
        <w:rPr>
          <w:b/>
          <w:sz w:val="28"/>
        </w:rPr>
      </w:pPr>
    </w:p>
    <w:p w:rsidR="00286DAE" w:rsidRDefault="00286DAE" w:rsidP="00286DAE">
      <w:pPr>
        <w:rPr>
          <w:sz w:val="28"/>
        </w:rPr>
      </w:pPr>
      <w:bookmarkStart w:id="6" w:name="z947612_EMENTA"/>
      <w:r>
        <w:rPr>
          <w:sz w:val="28"/>
        </w:rPr>
        <w:t>Obriga o fornecedor a informar os direitos do consumidor relativamente à possibilidade de substituição de bens e serviços adquiridos, e de opção pelos modos de compensação previstos na Lei nº 8.078, de 11 de setembro de 1990, e dá outras providências.</w:t>
      </w:r>
      <w:bookmarkEnd w:id="6"/>
    </w:p>
    <w:p w:rsidR="00286DAE" w:rsidRDefault="00286DAE" w:rsidP="00286DAE">
      <w:pPr>
        <w:rPr>
          <w:sz w:val="28"/>
        </w:rPr>
      </w:pPr>
    </w:p>
    <w:p w:rsidR="00286DAE" w:rsidRDefault="00286DAE" w:rsidP="00286DAE">
      <w:pPr>
        <w:pBdr>
          <w:top w:val="single" w:sz="4" w:space="1" w:color="auto"/>
          <w:left w:val="single" w:sz="4" w:space="4" w:color="auto"/>
          <w:bottom w:val="single" w:sz="4" w:space="1" w:color="auto"/>
          <w:right w:val="single" w:sz="4" w:space="4" w:color="auto"/>
        </w:pBdr>
        <w:rPr>
          <w:b/>
          <w:sz w:val="28"/>
        </w:rPr>
      </w:pPr>
      <w:bookmarkStart w:id="7" w:name="z947612_DESPACHO"/>
    </w:p>
    <w:p w:rsidR="00286DAE" w:rsidRDefault="00286DAE" w:rsidP="00286DAE">
      <w:pPr>
        <w:pBdr>
          <w:top w:val="single" w:sz="4" w:space="1" w:color="auto"/>
          <w:left w:val="single" w:sz="4" w:space="4" w:color="auto"/>
          <w:bottom w:val="single" w:sz="4" w:space="1" w:color="auto"/>
          <w:right w:val="single" w:sz="4" w:space="4" w:color="auto"/>
        </w:pBdr>
        <w:rPr>
          <w:b/>
          <w:sz w:val="28"/>
        </w:rPr>
      </w:pPr>
      <w:r>
        <w:rPr>
          <w:b/>
          <w:sz w:val="28"/>
        </w:rPr>
        <w:t>DESPACHO:</w:t>
      </w:r>
    </w:p>
    <w:p w:rsidR="00286DAE" w:rsidRDefault="00286DAE" w:rsidP="00286DAE">
      <w:pPr>
        <w:pBdr>
          <w:top w:val="single" w:sz="4" w:space="1" w:color="auto"/>
          <w:left w:val="single" w:sz="4" w:space="4" w:color="auto"/>
          <w:bottom w:val="single" w:sz="4" w:space="1" w:color="auto"/>
          <w:right w:val="single" w:sz="4" w:space="4" w:color="auto"/>
        </w:pBdr>
        <w:rPr>
          <w:sz w:val="28"/>
        </w:rPr>
      </w:pPr>
      <w:r>
        <w:rPr>
          <w:sz w:val="28"/>
        </w:rPr>
        <w:t>APENSE-SE AO PL</w:t>
      </w:r>
      <w:r w:rsidR="00F47033">
        <w:rPr>
          <w:sz w:val="28"/>
        </w:rPr>
        <w:t xml:space="preserve"> </w:t>
      </w:r>
      <w:r>
        <w:rPr>
          <w:sz w:val="28"/>
        </w:rPr>
        <w:t xml:space="preserve">2010/2011. </w:t>
      </w:r>
    </w:p>
    <w:p w:rsidR="00286DAE" w:rsidRDefault="00286DAE" w:rsidP="00286DAE">
      <w:pPr>
        <w:pBdr>
          <w:top w:val="single" w:sz="4" w:space="1" w:color="auto"/>
          <w:left w:val="single" w:sz="4" w:space="4" w:color="auto"/>
          <w:bottom w:val="single" w:sz="4" w:space="1" w:color="auto"/>
          <w:right w:val="single" w:sz="4" w:space="4" w:color="auto"/>
        </w:pBdr>
        <w:rPr>
          <w:sz w:val="28"/>
        </w:rPr>
      </w:pPr>
    </w:p>
    <w:p w:rsidR="00286DAE" w:rsidRDefault="00286DAE" w:rsidP="00286DAE">
      <w:pPr>
        <w:pBdr>
          <w:top w:val="single" w:sz="4" w:space="1" w:color="auto"/>
          <w:left w:val="single" w:sz="4" w:space="4" w:color="auto"/>
          <w:bottom w:val="single" w:sz="4" w:space="1" w:color="auto"/>
          <w:right w:val="single" w:sz="4" w:space="4" w:color="auto"/>
        </w:pBdr>
        <w:rPr>
          <w:b/>
          <w:sz w:val="28"/>
        </w:rPr>
      </w:pPr>
      <w:bookmarkStart w:id="8" w:name="z947612_APRECIACAO"/>
      <w:bookmarkEnd w:id="7"/>
      <w:r>
        <w:rPr>
          <w:b/>
          <w:sz w:val="28"/>
        </w:rPr>
        <w:t>APRECIAÇÃO:</w:t>
      </w:r>
    </w:p>
    <w:p w:rsidR="00286DAE" w:rsidRDefault="00286DAE" w:rsidP="00286DAE">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286DAE" w:rsidRDefault="00286DAE" w:rsidP="00286DAE">
      <w:pPr>
        <w:pBdr>
          <w:top w:val="single" w:sz="4" w:space="1" w:color="auto"/>
          <w:left w:val="single" w:sz="4" w:space="4" w:color="auto"/>
          <w:bottom w:val="single" w:sz="4" w:space="1" w:color="auto"/>
          <w:right w:val="single" w:sz="4" w:space="4" w:color="auto"/>
        </w:pBdr>
        <w:rPr>
          <w:sz w:val="28"/>
        </w:rPr>
      </w:pPr>
    </w:p>
    <w:bookmarkEnd w:id="8"/>
    <w:p w:rsidR="00286DAE" w:rsidRDefault="00286DAE" w:rsidP="00286DAE">
      <w:pPr>
        <w:rPr>
          <w:sz w:val="28"/>
        </w:rPr>
      </w:pPr>
    </w:p>
    <w:p w:rsidR="00286DAE" w:rsidRDefault="00286DAE" w:rsidP="00286DAE">
      <w:pPr>
        <w:jc w:val="center"/>
        <w:rPr>
          <w:b/>
          <w:sz w:val="28"/>
        </w:rPr>
      </w:pPr>
      <w:bookmarkStart w:id="9" w:name="z947612_PUBINICIAL"/>
      <w:r>
        <w:rPr>
          <w:b/>
          <w:sz w:val="28"/>
        </w:rPr>
        <w:t>PUBLICAÇÃO INICIAL</w:t>
      </w:r>
    </w:p>
    <w:p w:rsidR="00286DAE" w:rsidRDefault="00286DAE" w:rsidP="00286DAE">
      <w:pPr>
        <w:jc w:val="center"/>
        <w:rPr>
          <w:b/>
        </w:rPr>
      </w:pPr>
      <w:r>
        <w:rPr>
          <w:b/>
        </w:rPr>
        <w:t>Art. 137, caput - RICD</w:t>
      </w:r>
    </w:p>
    <w:p w:rsidR="00286DAE" w:rsidRDefault="00286DAE">
      <w:pPr>
        <w:spacing w:after="200" w:line="276" w:lineRule="auto"/>
        <w:jc w:val="left"/>
        <w:rPr>
          <w:b/>
        </w:rPr>
      </w:pPr>
      <w:r>
        <w:rPr>
          <w:b/>
        </w:rPr>
        <w:br w:type="page"/>
      </w:r>
    </w:p>
    <w:bookmarkEnd w:id="9"/>
    <w:p w:rsidR="00286DAE" w:rsidRDefault="00286DAE" w:rsidP="00286DAE">
      <w:pPr>
        <w:rPr>
          <w:b/>
        </w:rPr>
      </w:pPr>
    </w:p>
    <w:p w:rsidR="00286DAE" w:rsidRPr="00286DAE" w:rsidRDefault="00286DAE" w:rsidP="00286DAE">
      <w:pPr>
        <w:spacing w:after="200" w:line="276" w:lineRule="auto"/>
        <w:ind w:left="4111"/>
        <w:rPr>
          <w:rFonts w:eastAsia="Calibri"/>
          <w:i/>
          <w:sz w:val="28"/>
          <w:szCs w:val="28"/>
        </w:rPr>
      </w:pPr>
      <w:bookmarkStart w:id="10" w:name="z947612_1301230_TEOR"/>
    </w:p>
    <w:p w:rsidR="00286DAE" w:rsidRPr="00286DAE" w:rsidRDefault="00286DAE" w:rsidP="00286DAE">
      <w:pPr>
        <w:spacing w:after="200" w:line="276" w:lineRule="auto"/>
        <w:ind w:left="4111" w:hanging="4111"/>
        <w:rPr>
          <w:rFonts w:eastAsia="Calibri"/>
          <w:sz w:val="28"/>
          <w:szCs w:val="28"/>
        </w:rPr>
      </w:pPr>
      <w:r w:rsidRPr="00286DAE">
        <w:rPr>
          <w:rFonts w:eastAsia="Calibri"/>
          <w:sz w:val="28"/>
          <w:szCs w:val="28"/>
        </w:rPr>
        <w:t xml:space="preserve">O Congresso Nacional decreta: </w:t>
      </w:r>
    </w:p>
    <w:p w:rsidR="00286DAE" w:rsidRPr="00286DAE" w:rsidRDefault="00286DAE" w:rsidP="00286DAE">
      <w:pPr>
        <w:spacing w:after="200" w:line="276" w:lineRule="auto"/>
        <w:rPr>
          <w:rFonts w:eastAsia="Calibri"/>
          <w:sz w:val="28"/>
          <w:szCs w:val="28"/>
        </w:rPr>
      </w:pPr>
      <w:r w:rsidRPr="00286DAE">
        <w:rPr>
          <w:rFonts w:eastAsia="Calibri"/>
          <w:sz w:val="28"/>
          <w:szCs w:val="28"/>
        </w:rPr>
        <w:t>Art. 1º Todo fornecedor é obrigado a prestar informação ao consumidor, na forma estabelecida nesta lei, quanto aos direitos de substituição de bens e serviços que apresentarem os vícios previstos nos arts. 18 a 20 da Lei nº 8.078, de 11 de setembro de 1990 - Código Brasileiro de Defesa do Consumidor - ou que não atendam às determinações contidas nos arts. 21 e 22 da mesma lei.</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 1º Todo contrato escrito referente a aquisição de bens ou serviços deverá conter clausula que contenha o seguinte período: </w:t>
      </w:r>
    </w:p>
    <w:p w:rsidR="00286DAE" w:rsidRPr="00286DAE" w:rsidRDefault="00286DAE" w:rsidP="00286DAE">
      <w:pPr>
        <w:spacing w:after="200" w:line="276" w:lineRule="auto"/>
        <w:rPr>
          <w:rFonts w:eastAsia="Calibri"/>
          <w:sz w:val="28"/>
          <w:szCs w:val="28"/>
        </w:rPr>
      </w:pPr>
      <w:r w:rsidRPr="00286DAE">
        <w:rPr>
          <w:rFonts w:eastAsia="Calibri"/>
          <w:sz w:val="28"/>
          <w:szCs w:val="28"/>
        </w:rPr>
        <w:t>“É assegurada ao consumidor a substituição ou a compensação do(s) produto(s) ou serviço(s) objeto do presente instrumento, quando apresentar (em) quaisquer dos vícios elencado(s) nos arts. 18 a 20 da lei nº 8.078, de 11 de setembro de 1990, ou não atender às especificações constantes dos arts. 21 e 22 do mesmo diploma legal.”</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 2º Todo bem adquirido e todo produto físico ou documental resultante de prestação de serviço deverá ser entregue com uma etiqueta ou inscrição aposta com o seguinte período: </w:t>
      </w:r>
    </w:p>
    <w:p w:rsidR="00286DAE" w:rsidRPr="00286DAE" w:rsidRDefault="00286DAE" w:rsidP="00286DAE">
      <w:pPr>
        <w:spacing w:after="200" w:line="276" w:lineRule="auto"/>
        <w:rPr>
          <w:rFonts w:eastAsia="Calibri"/>
          <w:sz w:val="28"/>
          <w:szCs w:val="28"/>
        </w:rPr>
      </w:pPr>
      <w:r w:rsidRPr="00286DAE">
        <w:rPr>
          <w:rFonts w:eastAsia="Calibri"/>
          <w:sz w:val="28"/>
          <w:szCs w:val="28"/>
        </w:rPr>
        <w:t>“É assegurada ao consumidor a substituição ou a compensação deste produto, quando apresentar qualquer dos vícios elencados nos arts. 18 a 20 da Lei nº 8.078, de 11 de setembro de 1990, ou não atender às especificações constantes dos arts. 21 e 22 do mesmo diploma legal, no que couber.”</w:t>
      </w:r>
    </w:p>
    <w:p w:rsidR="00286DAE" w:rsidRPr="00286DAE" w:rsidRDefault="00286DAE" w:rsidP="00286DAE">
      <w:pPr>
        <w:spacing w:after="200" w:line="276" w:lineRule="auto"/>
        <w:rPr>
          <w:rFonts w:eastAsia="Calibri"/>
          <w:sz w:val="28"/>
          <w:szCs w:val="28"/>
        </w:rPr>
      </w:pPr>
      <w:r w:rsidRPr="00286DAE">
        <w:rPr>
          <w:rFonts w:eastAsia="Calibri"/>
          <w:sz w:val="28"/>
          <w:szCs w:val="28"/>
        </w:rPr>
        <w:t>§ 3º Excetuam-se do disposto no caput e nos §§ 1º e 2º deste artigo os produtos ou serviços de natureza artística, artesanal ou imaterial, cuja qualidade não seja suscetível de ser objetivamente avaliada, sem prejuízo do atendimento às normas específicas contidas na legislação pertinente ao exercício profissional.</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 § 4º Todo local ou estabelecimento de venda de bens ou prestação de serviços, abrangidos pelas definições dadas nos §§ 1º e 2º do art. 3º da Lei nº 8.078, de 11 de setembro de 1990, deverá afixar cartaz em local visível e de fácil acesso ao público, e, quando houver divulgação, </w:t>
      </w:r>
    </w:p>
    <w:p w:rsidR="00286DAE" w:rsidRPr="00286DAE" w:rsidRDefault="00286DAE" w:rsidP="00286DAE">
      <w:pPr>
        <w:spacing w:after="200" w:line="276" w:lineRule="auto"/>
        <w:rPr>
          <w:rFonts w:eastAsia="Calibri"/>
          <w:sz w:val="28"/>
          <w:szCs w:val="28"/>
        </w:rPr>
      </w:pPr>
      <w:r w:rsidRPr="00286DAE">
        <w:rPr>
          <w:rFonts w:eastAsia="Calibri"/>
          <w:sz w:val="28"/>
          <w:szCs w:val="28"/>
        </w:rPr>
        <w:lastRenderedPageBreak/>
        <w:t>comercialização ou contratação por meio eletrônico inserir aviso em destaque, com os seguintes dizeres:</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a) na primeira linha: “Código de Proteção e Defesa do Consumidor”; </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b) na segunda linha: “Lei nº 8.078, de 11 de setembro de 1990”; </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c) na terceira linha: “Da Responsabilidade do Fornecedor por Vício do Produto ou do Serviço”; </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d) da quarta linha em diante: a transcrição completa dos arts. 18 a 25 da Lei nº 8.078, de 11 de setembro de 1990. </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 5º Os meios de divulgação referidos no § 4º deste artigo poderão ser substituídos por panfleto, impresso ou cláusula contratual entregue individualmente a cada adquirente de bem ou serviço, desde que atendido o disposto nas alíneas “a” a “d” do referido parágrafo. </w:t>
      </w:r>
    </w:p>
    <w:p w:rsidR="00286DAE" w:rsidRPr="00286DAE" w:rsidRDefault="00286DAE" w:rsidP="00286DAE">
      <w:pPr>
        <w:spacing w:after="200" w:line="276" w:lineRule="auto"/>
        <w:rPr>
          <w:rFonts w:eastAsia="Calibri"/>
          <w:sz w:val="28"/>
          <w:szCs w:val="28"/>
        </w:rPr>
      </w:pPr>
      <w:r w:rsidRPr="00286DAE">
        <w:rPr>
          <w:rFonts w:eastAsia="Calibri"/>
          <w:sz w:val="28"/>
          <w:szCs w:val="28"/>
        </w:rPr>
        <w:t>Art. 2º O disposto neta lei não revoga, não substitui e nem altera o disposto no art. 24 da Lei nº 8.078, de 11 de setembro de 1990.</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 Art. 3º Esta lei entrará em vigor na data de sua publicação</w:t>
      </w:r>
    </w:p>
    <w:p w:rsidR="00286DAE" w:rsidRPr="00286DAE" w:rsidRDefault="00286DAE" w:rsidP="00286DAE">
      <w:pPr>
        <w:spacing w:after="200" w:line="276" w:lineRule="auto"/>
        <w:rPr>
          <w:rFonts w:eastAsia="Calibri"/>
          <w:sz w:val="28"/>
          <w:szCs w:val="28"/>
        </w:rPr>
      </w:pPr>
    </w:p>
    <w:p w:rsidR="00286DAE" w:rsidRPr="00286DAE" w:rsidRDefault="00286DAE" w:rsidP="00F47033">
      <w:pPr>
        <w:spacing w:line="276" w:lineRule="auto"/>
        <w:jc w:val="center"/>
        <w:rPr>
          <w:rFonts w:eastAsia="Calibri"/>
          <w:b/>
          <w:sz w:val="28"/>
          <w:szCs w:val="28"/>
        </w:rPr>
      </w:pPr>
      <w:r w:rsidRPr="00286DAE">
        <w:rPr>
          <w:rFonts w:eastAsia="Calibri"/>
          <w:b/>
          <w:sz w:val="28"/>
          <w:szCs w:val="28"/>
        </w:rPr>
        <w:t>JUSTIFICATIVA</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 O  Código de Defesa do Consumidor considerado avançado e bem estruturado, mas que não produziu ainda uma “cultura do consumidor”, que lhe dê a verdadeira consciência de seus direitos e o leve a reivindicá-los. Um dos mecanismos que ajuda a formar esta “cultura do consumidor” é a obrigatoriedade de o fornecedor expor ou veicular as normas legais que assegurem direitos ao consumidor, ainda mais quando lhes impõem responsabilidades.</w:t>
      </w:r>
    </w:p>
    <w:p w:rsidR="00286DAE" w:rsidRPr="00286DAE" w:rsidRDefault="00286DAE" w:rsidP="00286DAE">
      <w:pPr>
        <w:spacing w:after="200" w:line="276" w:lineRule="auto"/>
        <w:rPr>
          <w:rFonts w:eastAsia="Calibri"/>
          <w:sz w:val="28"/>
          <w:szCs w:val="28"/>
        </w:rPr>
      </w:pPr>
      <w:r w:rsidRPr="00286DAE">
        <w:rPr>
          <w:rFonts w:eastAsia="Calibri"/>
          <w:sz w:val="28"/>
          <w:szCs w:val="28"/>
        </w:rPr>
        <w:t xml:space="preserve"> A divulgação obrigatória, que ora propomos, pelos fornecedores, dos dispositivos que os tornam responsáveis pelos vícios de qualidade ou quantidade irá, em nossa opinião, ajudar a construir não apenas a “cultura do consumidor”, mas também a “cultura do fornecedor”, que escolherão aqueles fornecedores que se destacam por produzir bens de qualidade superior.</w:t>
      </w:r>
    </w:p>
    <w:p w:rsidR="00286DAE" w:rsidRPr="00286DAE" w:rsidRDefault="00286DAE" w:rsidP="00286DAE">
      <w:pPr>
        <w:autoSpaceDE w:val="0"/>
        <w:autoSpaceDN w:val="0"/>
        <w:adjustRightInd w:val="0"/>
        <w:spacing w:line="360" w:lineRule="auto"/>
        <w:rPr>
          <w:rFonts w:eastAsia="Calibri"/>
          <w:sz w:val="28"/>
          <w:szCs w:val="28"/>
        </w:rPr>
      </w:pPr>
      <w:r w:rsidRPr="00286DAE">
        <w:rPr>
          <w:rFonts w:eastAsia="Calibri"/>
          <w:sz w:val="28"/>
          <w:szCs w:val="28"/>
        </w:rPr>
        <w:lastRenderedPageBreak/>
        <w:t>Por esses motivos, apresento este Projeto de Lei, pedindo aos nobres pares apoio para a sua aprovação.</w:t>
      </w:r>
    </w:p>
    <w:p w:rsidR="00286DAE" w:rsidRPr="00286DAE" w:rsidRDefault="00286DAE" w:rsidP="00286DAE">
      <w:pPr>
        <w:spacing w:after="200" w:line="360" w:lineRule="auto"/>
        <w:rPr>
          <w:rFonts w:eastAsia="Calibri"/>
          <w:sz w:val="28"/>
          <w:szCs w:val="28"/>
        </w:rPr>
      </w:pPr>
    </w:p>
    <w:p w:rsidR="00286DAE" w:rsidRPr="00286DAE" w:rsidRDefault="00F47033" w:rsidP="00286DAE">
      <w:pPr>
        <w:spacing w:after="200" w:line="360" w:lineRule="auto"/>
        <w:rPr>
          <w:rFonts w:eastAsia="Calibri"/>
          <w:sz w:val="28"/>
          <w:szCs w:val="28"/>
        </w:rPr>
      </w:pPr>
      <w:r>
        <w:rPr>
          <w:rFonts w:eastAsia="Calibri"/>
          <w:sz w:val="28"/>
          <w:szCs w:val="28"/>
        </w:rPr>
        <w:t>Sala das Sessões, em 13</w:t>
      </w:r>
      <w:r w:rsidR="00286DAE" w:rsidRPr="00286DAE">
        <w:rPr>
          <w:rFonts w:eastAsia="Calibri"/>
          <w:sz w:val="28"/>
          <w:szCs w:val="28"/>
        </w:rPr>
        <w:t xml:space="preserve"> de fevereiro de 2015.</w:t>
      </w:r>
    </w:p>
    <w:p w:rsidR="00286DAE" w:rsidRPr="00286DAE" w:rsidRDefault="00286DAE" w:rsidP="00286DAE">
      <w:pPr>
        <w:autoSpaceDE w:val="0"/>
        <w:autoSpaceDN w:val="0"/>
        <w:adjustRightInd w:val="0"/>
        <w:rPr>
          <w:rFonts w:eastAsia="Calibri"/>
          <w:b/>
          <w:sz w:val="28"/>
          <w:szCs w:val="28"/>
          <w:lang w:eastAsia="pt-BR"/>
        </w:rPr>
      </w:pPr>
    </w:p>
    <w:p w:rsidR="00286DAE" w:rsidRPr="00286DAE" w:rsidRDefault="00286DAE" w:rsidP="00286DAE">
      <w:pPr>
        <w:autoSpaceDE w:val="0"/>
        <w:autoSpaceDN w:val="0"/>
        <w:adjustRightInd w:val="0"/>
        <w:jc w:val="center"/>
        <w:rPr>
          <w:rFonts w:eastAsia="Calibri"/>
          <w:b/>
          <w:sz w:val="28"/>
          <w:szCs w:val="28"/>
          <w:lang w:eastAsia="pt-BR"/>
        </w:rPr>
      </w:pPr>
    </w:p>
    <w:p w:rsidR="00286DAE" w:rsidRPr="00286DAE" w:rsidRDefault="00286DAE" w:rsidP="00286DAE">
      <w:pPr>
        <w:autoSpaceDE w:val="0"/>
        <w:autoSpaceDN w:val="0"/>
        <w:adjustRightInd w:val="0"/>
        <w:jc w:val="center"/>
        <w:rPr>
          <w:rFonts w:eastAsia="Calibri"/>
          <w:b/>
          <w:bCs/>
          <w:sz w:val="28"/>
          <w:szCs w:val="28"/>
          <w:lang w:eastAsia="pt-BR"/>
        </w:rPr>
      </w:pPr>
      <w:r w:rsidRPr="00286DAE">
        <w:rPr>
          <w:rFonts w:eastAsia="Calibri"/>
          <w:b/>
          <w:sz w:val="28"/>
          <w:szCs w:val="28"/>
          <w:lang w:eastAsia="pt-BR"/>
        </w:rPr>
        <w:t xml:space="preserve">Deputado </w:t>
      </w:r>
      <w:r w:rsidRPr="00286DAE">
        <w:rPr>
          <w:rFonts w:eastAsia="Calibri"/>
          <w:b/>
          <w:bCs/>
          <w:sz w:val="28"/>
          <w:szCs w:val="28"/>
          <w:lang w:eastAsia="pt-BR"/>
        </w:rPr>
        <w:t>Lelo Coimbra</w:t>
      </w:r>
    </w:p>
    <w:p w:rsidR="00286DAE" w:rsidRPr="00286DAE" w:rsidRDefault="00286DAE" w:rsidP="00286DAE">
      <w:pPr>
        <w:autoSpaceDE w:val="0"/>
        <w:autoSpaceDN w:val="0"/>
        <w:adjustRightInd w:val="0"/>
        <w:jc w:val="center"/>
        <w:rPr>
          <w:rFonts w:eastAsia="Calibri"/>
          <w:b/>
          <w:sz w:val="28"/>
          <w:szCs w:val="28"/>
          <w:lang w:eastAsia="pt-BR"/>
        </w:rPr>
      </w:pPr>
      <w:r w:rsidRPr="00286DAE">
        <w:rPr>
          <w:rFonts w:eastAsia="Calibri"/>
          <w:b/>
          <w:sz w:val="28"/>
          <w:szCs w:val="28"/>
          <w:lang w:eastAsia="pt-BR"/>
        </w:rPr>
        <w:t>PMDB/ES</w:t>
      </w:r>
    </w:p>
    <w:p w:rsidR="00286DAE" w:rsidRPr="00286DAE" w:rsidRDefault="00286DAE" w:rsidP="00286DAE">
      <w:pPr>
        <w:spacing w:after="200" w:line="276" w:lineRule="auto"/>
        <w:jc w:val="left"/>
        <w:rPr>
          <w:rFonts w:ascii="Calibri" w:eastAsia="Calibri" w:hAnsi="Calibri" w:cs="Times New Roman"/>
          <w:sz w:val="22"/>
        </w:rPr>
      </w:pPr>
    </w:p>
    <w:p w:rsidR="00286DAE" w:rsidRDefault="00286DAE" w:rsidP="00286DAE">
      <w:pPr>
        <w:rPr>
          <w:sz w:val="24"/>
        </w:rPr>
      </w:pPr>
    </w:p>
    <w:p w:rsidR="00286DAE" w:rsidRDefault="00286DAE" w:rsidP="00286DAE">
      <w:pPr>
        <w:pBdr>
          <w:top w:val="single" w:sz="4" w:space="1" w:color="auto"/>
          <w:left w:val="single" w:sz="4" w:space="4" w:color="auto"/>
          <w:bottom w:val="single" w:sz="4" w:space="1" w:color="auto"/>
          <w:right w:val="single" w:sz="4" w:space="4" w:color="auto"/>
        </w:pBdr>
        <w:jc w:val="center"/>
        <w:rPr>
          <w:b/>
          <w:sz w:val="24"/>
        </w:rPr>
      </w:pPr>
      <w:bookmarkStart w:id="11" w:name="z947612_LEGISLACAO"/>
      <w:bookmarkEnd w:id="10"/>
      <w:r>
        <w:rPr>
          <w:b/>
          <w:sz w:val="24"/>
        </w:rPr>
        <w:t>LEGISLAÇÃO CITADA ANEXADA PELA</w:t>
      </w:r>
    </w:p>
    <w:p w:rsidR="00286DAE" w:rsidRDefault="00286DAE" w:rsidP="00286DAE">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286DAE" w:rsidRDefault="00286DAE" w:rsidP="00286DAE">
      <w:pPr>
        <w:jc w:val="center"/>
        <w:rPr>
          <w:b/>
          <w:sz w:val="24"/>
        </w:rPr>
      </w:pPr>
    </w:p>
    <w:p w:rsidR="00286DAE" w:rsidRPr="00286DAE" w:rsidRDefault="00286DAE" w:rsidP="00286DAE">
      <w:pPr>
        <w:keepNext/>
        <w:jc w:val="center"/>
        <w:outlineLvl w:val="2"/>
        <w:rPr>
          <w:rFonts w:ascii="Times New Roman" w:eastAsia="Times New Roman" w:hAnsi="Times New Roman" w:cs="Times New Roman"/>
          <w:b/>
          <w:sz w:val="28"/>
          <w:szCs w:val="28"/>
          <w:lang w:eastAsia="pt-BR"/>
        </w:rPr>
      </w:pPr>
      <w:r w:rsidRPr="00286DAE">
        <w:rPr>
          <w:rFonts w:ascii="Times New Roman" w:eastAsia="Times New Roman" w:hAnsi="Times New Roman" w:cs="Times New Roman"/>
          <w:b/>
          <w:sz w:val="28"/>
          <w:szCs w:val="28"/>
          <w:lang w:eastAsia="pt-BR"/>
        </w:rPr>
        <w:t>LEI Nº 8.078, DE 11 DE SETEMBRO DE 1990</w:t>
      </w:r>
    </w:p>
    <w:p w:rsidR="00286DAE" w:rsidRPr="00286DAE" w:rsidRDefault="00286DAE" w:rsidP="00286DAE">
      <w:pPr>
        <w:ind w:firstLine="1134"/>
        <w:jc w:val="center"/>
        <w:rPr>
          <w:rFonts w:ascii="Times New Roman" w:eastAsia="Times New Roman" w:hAnsi="Times New Roman" w:cs="Times New Roman"/>
          <w:b/>
          <w:sz w:val="24"/>
          <w:szCs w:val="24"/>
          <w:lang w:eastAsia="pt-BR"/>
        </w:rPr>
      </w:pPr>
    </w:p>
    <w:p w:rsidR="00286DAE" w:rsidRPr="00286DAE" w:rsidRDefault="00286DAE" w:rsidP="00286DAE">
      <w:pPr>
        <w:ind w:firstLine="1134"/>
        <w:jc w:val="center"/>
        <w:rPr>
          <w:rFonts w:ascii="Times New Roman" w:eastAsia="Times New Roman" w:hAnsi="Times New Roman" w:cs="Times New Roman"/>
          <w:b/>
          <w:sz w:val="24"/>
          <w:szCs w:val="24"/>
          <w:lang w:eastAsia="pt-BR"/>
        </w:rPr>
      </w:pPr>
    </w:p>
    <w:p w:rsidR="00286DAE" w:rsidRPr="00286DAE" w:rsidRDefault="00286DAE" w:rsidP="00286DAE">
      <w:pPr>
        <w:ind w:left="4536"/>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Dispõe sobre a proteção do consumidor e dá outras providências.</w:t>
      </w:r>
    </w:p>
    <w:p w:rsidR="00286DAE" w:rsidRPr="00286DAE" w:rsidRDefault="00286DAE" w:rsidP="00286DAE">
      <w:pPr>
        <w:ind w:firstLine="1134"/>
        <w:rPr>
          <w:rFonts w:ascii="Times New Roman" w:eastAsia="Times New Roman" w:hAnsi="Times New Roman" w:cs="Times New Roman"/>
          <w:sz w:val="24"/>
          <w:szCs w:val="24"/>
          <w:lang w:eastAsia="pt-BR"/>
        </w:rPr>
      </w:pPr>
    </w:p>
    <w:p w:rsidR="00286DAE" w:rsidRPr="00286DAE" w:rsidRDefault="00286DAE" w:rsidP="00286DAE">
      <w:pPr>
        <w:ind w:firstLine="1134"/>
        <w:rPr>
          <w:rFonts w:ascii="Times New Roman" w:eastAsia="Times New Roman" w:hAnsi="Times New Roman" w:cs="Times New Roman"/>
          <w:sz w:val="24"/>
          <w:szCs w:val="24"/>
          <w:lang w:eastAsia="pt-BR"/>
        </w:rPr>
      </w:pP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O PRESIDENTE DA REPÚBLICA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Faço saber que o Congresso Nacional decreta e eu sanciono a seguinte lei: </w:t>
      </w:r>
    </w:p>
    <w:p w:rsidR="00286DAE" w:rsidRPr="00286DAE" w:rsidRDefault="00286DAE" w:rsidP="00286DAE">
      <w:pPr>
        <w:ind w:firstLine="1134"/>
        <w:rPr>
          <w:rFonts w:ascii="Times New Roman" w:eastAsia="Times New Roman" w:hAnsi="Times New Roman" w:cs="Times New Roman"/>
          <w:sz w:val="24"/>
          <w:szCs w:val="24"/>
          <w:lang w:eastAsia="pt-BR"/>
        </w:rPr>
      </w:pPr>
    </w:p>
    <w:p w:rsidR="00286DAE" w:rsidRPr="00286DAE" w:rsidRDefault="00286DAE" w:rsidP="00286DAE">
      <w:pPr>
        <w:jc w:val="center"/>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TÍTULO I</w:t>
      </w:r>
    </w:p>
    <w:p w:rsidR="00286DAE" w:rsidRPr="00286DAE" w:rsidRDefault="00286DAE" w:rsidP="00286DAE">
      <w:pPr>
        <w:jc w:val="center"/>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DOS DIREITOS DO CONSUMIDOR</w:t>
      </w:r>
    </w:p>
    <w:p w:rsidR="00286DAE" w:rsidRPr="00286DAE" w:rsidRDefault="00286DAE" w:rsidP="00286DAE">
      <w:pPr>
        <w:jc w:val="center"/>
        <w:rPr>
          <w:rFonts w:ascii="Times New Roman" w:eastAsia="Times New Roman" w:hAnsi="Times New Roman" w:cs="Times New Roman"/>
          <w:sz w:val="24"/>
          <w:szCs w:val="24"/>
          <w:lang w:eastAsia="pt-BR"/>
        </w:rPr>
      </w:pPr>
    </w:p>
    <w:p w:rsidR="00286DAE" w:rsidRPr="00286DAE" w:rsidRDefault="00286DAE" w:rsidP="00286DAE">
      <w:pPr>
        <w:jc w:val="center"/>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CAPÍTULO I</w:t>
      </w:r>
    </w:p>
    <w:p w:rsidR="00286DAE" w:rsidRPr="00286DAE" w:rsidRDefault="00286DAE" w:rsidP="00286DAE">
      <w:pPr>
        <w:jc w:val="center"/>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DISPOSIÇÕES GERAIS</w:t>
      </w:r>
    </w:p>
    <w:p w:rsidR="00286DAE" w:rsidRPr="00286DAE" w:rsidRDefault="00286DAE" w:rsidP="00286DAE">
      <w:pPr>
        <w:ind w:firstLine="1134"/>
        <w:rPr>
          <w:rFonts w:ascii="Times New Roman" w:eastAsia="Times New Roman" w:hAnsi="Times New Roman" w:cs="Times New Roman"/>
          <w:sz w:val="24"/>
          <w:szCs w:val="24"/>
          <w:lang w:eastAsia="pt-BR"/>
        </w:rPr>
      </w:pP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Art. 1º O presente código estabelece normas de proteção e defesa do consumidor, de ordem pública e interesse social, nos termos dos arts. 5º, inciso XXXII, 170, inciso V, da Constituição Federal e art. 48 de suas Disposições Transitórias. </w:t>
      </w:r>
    </w:p>
    <w:p w:rsidR="00286DAE" w:rsidRPr="00286DAE" w:rsidRDefault="00286DAE" w:rsidP="00286DAE">
      <w:pPr>
        <w:ind w:firstLine="1134"/>
        <w:rPr>
          <w:rFonts w:ascii="Times New Roman" w:eastAsia="Times New Roman" w:hAnsi="Times New Roman" w:cs="Times New Roman"/>
          <w:sz w:val="24"/>
          <w:szCs w:val="24"/>
          <w:lang w:eastAsia="pt-BR"/>
        </w:rPr>
      </w:pP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Art. 2º Consumidor é toda pessoa física ou jurídica que adquire ou utiliza produto ou serviço como destinatário final.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Parágrafo único. Equipara-se a consumidor a coletividade de pessoas, ainda que indetermináveis, que haja intervindo nas relações de consumo. </w:t>
      </w:r>
    </w:p>
    <w:p w:rsidR="00286DAE" w:rsidRPr="00286DAE" w:rsidRDefault="00286DAE" w:rsidP="00286DAE">
      <w:pPr>
        <w:ind w:firstLine="1134"/>
        <w:rPr>
          <w:rFonts w:ascii="Times New Roman" w:eastAsia="Times New Roman" w:hAnsi="Times New Roman" w:cs="Times New Roman"/>
          <w:sz w:val="24"/>
          <w:szCs w:val="24"/>
          <w:lang w:eastAsia="pt-BR"/>
        </w:rPr>
      </w:pP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Art. 3º Fornecedor é toda pessoa física ou jurídica, pública ou privada, nacional ou estrangeira, bem como os entes despersonalizados, que desenvolvem atividade de produção, montagem, criação, construção, transformação, importação, exportação, distribuição ou comercialização de produtos ou prestação de serviços.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 1º Produto é qualquer bem, móvel ou imóvel, material ou imaterial.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lastRenderedPageBreak/>
        <w:t xml:space="preserve">§ 2º Serviço é qualquer atividade fornecida no mercado de consumo, mediante remuneração, inclusive as de natureza bancária, financeira, de crédito e securitária, salvo as decorrentes das relações de caráter trabalhista. </w:t>
      </w:r>
    </w:p>
    <w:p w:rsidR="00286DAE" w:rsidRPr="00286DAE" w:rsidRDefault="00286DAE" w:rsidP="00286DAE">
      <w:pPr>
        <w:ind w:firstLine="1134"/>
        <w:rPr>
          <w:rFonts w:ascii="Times New Roman" w:eastAsia="Times New Roman" w:hAnsi="Times New Roman" w:cs="Times New Roman"/>
          <w:sz w:val="24"/>
          <w:szCs w:val="24"/>
          <w:lang w:eastAsia="pt-BR"/>
        </w:rPr>
      </w:pPr>
    </w:p>
    <w:p w:rsidR="00286DAE" w:rsidRPr="00286DAE" w:rsidRDefault="00286DAE" w:rsidP="00286DAE">
      <w:pPr>
        <w:jc w:val="center"/>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CAPÍTULO II</w:t>
      </w:r>
    </w:p>
    <w:p w:rsidR="00286DAE" w:rsidRPr="00286DAE" w:rsidRDefault="00286DAE" w:rsidP="00286DAE">
      <w:pPr>
        <w:jc w:val="center"/>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DA POLÍTICA NACIONAL DE RELAÇÕES DE CONSUMO</w:t>
      </w:r>
    </w:p>
    <w:p w:rsidR="00286DAE" w:rsidRPr="00286DAE" w:rsidRDefault="00286DAE" w:rsidP="00286DAE">
      <w:pPr>
        <w:jc w:val="center"/>
        <w:rPr>
          <w:rFonts w:ascii="Times New Roman" w:eastAsia="Times New Roman" w:hAnsi="Times New Roman" w:cs="Times New Roman"/>
          <w:sz w:val="24"/>
          <w:szCs w:val="24"/>
          <w:lang w:eastAsia="pt-BR"/>
        </w:rPr>
      </w:pPr>
    </w:p>
    <w:p w:rsidR="00286DAE" w:rsidRPr="00286DAE" w:rsidRDefault="00286DAE" w:rsidP="00286DAE">
      <w:pPr>
        <w:ind w:firstLine="1134"/>
        <w:rPr>
          <w:rFonts w:ascii="Times New Roman" w:eastAsia="Times New Roman" w:hAnsi="Times New Roman" w:cs="Times New Roman"/>
          <w:sz w:val="24"/>
          <w:szCs w:val="24"/>
          <w:lang w:eastAsia="pt-BR"/>
        </w:rPr>
      </w:pPr>
    </w:p>
    <w:p w:rsidR="00286DAE" w:rsidRPr="00286DAE" w:rsidRDefault="00286DAE" w:rsidP="00286DAE">
      <w:pPr>
        <w:ind w:firstLine="1134"/>
        <w:rPr>
          <w:rFonts w:ascii="Times New Roman" w:eastAsia="Times New Roman" w:hAnsi="Times New Roman" w:cs="Times New Roman"/>
          <w:i/>
          <w:sz w:val="24"/>
          <w:szCs w:val="24"/>
          <w:lang w:eastAsia="pt-BR"/>
        </w:rPr>
      </w:pPr>
      <w:r w:rsidRPr="00286DAE">
        <w:rPr>
          <w:rFonts w:ascii="Times New Roman" w:eastAsia="Times New Roman" w:hAnsi="Times New Roman" w:cs="Times New Roman"/>
          <w:sz w:val="24"/>
          <w:szCs w:val="24"/>
          <w:lang w:eastAsia="pt-BR"/>
        </w:rPr>
        <w:t xml:space="preserve">Art. 4º A Política Nacional das Relações de Consumo tem por objetivo o atendimento das necessidades dos consumidores, o respeito à sua dignidade, saúde e segurança, a proteção de seus interesses econômicos, a melhoria da sua qualidade de vida, bem como a transparência e harmonia das relações de consumo, atendidos os seguintes princípios: </w:t>
      </w:r>
      <w:hyperlink r:id="rId8" w:history="1">
        <w:r w:rsidRPr="00286DAE">
          <w:rPr>
            <w:rFonts w:ascii="Times New Roman" w:eastAsia="Times New Roman" w:hAnsi="Times New Roman" w:cs="Times New Roman"/>
            <w:i/>
            <w:color w:val="0000FF"/>
            <w:szCs w:val="24"/>
            <w:u w:val="single"/>
            <w:lang w:eastAsia="pt-BR"/>
          </w:rPr>
          <w:t>(“Caput” do artigo com redação dada pel</w:t>
        </w:r>
        <w:bookmarkStart w:id="12" w:name="_Hlt118517364"/>
        <w:r w:rsidRPr="00286DAE">
          <w:rPr>
            <w:rFonts w:ascii="Times New Roman" w:eastAsia="Times New Roman" w:hAnsi="Times New Roman" w:cs="Times New Roman"/>
            <w:i/>
            <w:color w:val="0000FF"/>
            <w:szCs w:val="24"/>
            <w:u w:val="single"/>
            <w:lang w:eastAsia="pt-BR"/>
          </w:rPr>
          <w:t>a</w:t>
        </w:r>
        <w:bookmarkEnd w:id="12"/>
        <w:r w:rsidRPr="00286DAE">
          <w:rPr>
            <w:rFonts w:ascii="Times New Roman" w:eastAsia="Times New Roman" w:hAnsi="Times New Roman" w:cs="Times New Roman"/>
            <w:i/>
            <w:color w:val="0000FF"/>
            <w:szCs w:val="24"/>
            <w:u w:val="single"/>
            <w:lang w:eastAsia="pt-BR"/>
          </w:rPr>
          <w:t xml:space="preserve"> Lei </w:t>
        </w:r>
        <w:bookmarkStart w:id="13" w:name="_Hlt153186093"/>
        <w:r w:rsidRPr="00286DAE">
          <w:rPr>
            <w:rFonts w:ascii="Times New Roman" w:eastAsia="Times New Roman" w:hAnsi="Times New Roman" w:cs="Times New Roman"/>
            <w:i/>
            <w:color w:val="0000FF"/>
            <w:szCs w:val="24"/>
            <w:u w:val="single"/>
            <w:lang w:eastAsia="pt-BR"/>
          </w:rPr>
          <w:t>n</w:t>
        </w:r>
        <w:bookmarkEnd w:id="13"/>
        <w:r w:rsidRPr="00286DAE">
          <w:rPr>
            <w:rFonts w:ascii="Times New Roman" w:eastAsia="Times New Roman" w:hAnsi="Times New Roman" w:cs="Times New Roman"/>
            <w:i/>
            <w:color w:val="0000FF"/>
            <w:szCs w:val="24"/>
            <w:u w:val="single"/>
            <w:lang w:eastAsia="pt-BR"/>
          </w:rPr>
          <w:t>º 9.008, de 21/3/1995)</w:t>
        </w:r>
      </w:hyperlink>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I - reconhecimento da vulnerabilidade do consumidor no mercado de consumo;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II - ação governamental no sentido de proteger efetivamente o consumidor: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a) por iniciativa direta;</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b) por incentivos à criação e desenvolvimento de associações representativas;</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c) pela presença do Estado no mercado de consumo;</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d) pela garantia dos produtos e serviços com padrões adequados de qualidade, segurança, durabilidade e desempenho.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III - harmonização dos interesses dos participantes das relações de consumo e compatibilização da proteção do consumidor com a necessidade de desenvolvimento econômico e tecnológico, de modo a viabilizar os princípios nos quais se funda a ordem econômica (art. 170, da Constituição Federal), sempre com base na boa-fé e equilíbrio nas relações entre consumidores e fornecedores;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IV - educação e informação de fornecedores e consumidores, quanto aos seus direitos e deveres, com vistas à melhoria do mercado de consumo;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V - incentivo à criação pelos fornecedores de meios eficientes de controle de qualidade e segurança de produtos e serviços, assim como de mecanismos alternativos de solução de conflitos de consumo;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VI - coibição e repressão eficientes de todos os abusos praticados no mercado de consumo, inclusive a concorrência desleal e utilização indevida de inventos e criações industriais das marcas e nomes comerciais e signos distintivos, que possam causar prejuízos aos consumidores;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VII - racionalização e melhoria dos serviços públicos; </w:t>
      </w:r>
    </w:p>
    <w:p w:rsidR="00286DAE" w:rsidRPr="00286DAE" w:rsidRDefault="00286DAE" w:rsidP="00286DAE">
      <w:pPr>
        <w:ind w:firstLine="1134"/>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 xml:space="preserve">VIII - estudo constante das modificações do mercado de consumo. </w:t>
      </w:r>
    </w:p>
    <w:p w:rsidR="00286DAE" w:rsidRPr="00286DAE" w:rsidRDefault="00286DAE" w:rsidP="00286DAE">
      <w:pPr>
        <w:jc w:val="left"/>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w:t>
      </w:r>
    </w:p>
    <w:p w:rsidR="00286DAE" w:rsidRPr="00286DAE" w:rsidRDefault="00286DAE" w:rsidP="00286DAE">
      <w:pPr>
        <w:jc w:val="left"/>
        <w:rPr>
          <w:rFonts w:ascii="Times New Roman" w:eastAsia="Times New Roman" w:hAnsi="Times New Roman" w:cs="Times New Roman"/>
          <w:sz w:val="24"/>
          <w:szCs w:val="24"/>
          <w:lang w:eastAsia="pt-BR"/>
        </w:rPr>
      </w:pPr>
    </w:p>
    <w:p w:rsidR="00286DAE" w:rsidRPr="00286DAE" w:rsidRDefault="00286DAE" w:rsidP="00286DAE">
      <w:pPr>
        <w:jc w:val="center"/>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CAPÍTULO IV</w:t>
      </w:r>
    </w:p>
    <w:p w:rsidR="00286DAE" w:rsidRPr="00286DAE" w:rsidRDefault="00286DAE" w:rsidP="00286DAE">
      <w:pPr>
        <w:jc w:val="center"/>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DA QUALIDADE DE PRODUTOS E SERVIÇOS, DA PREVENÇÃO E DA REPARAÇÃO DOS DANOS</w:t>
      </w:r>
    </w:p>
    <w:p w:rsidR="00286DAE" w:rsidRPr="00286DAE" w:rsidRDefault="00286DAE" w:rsidP="00286DAE">
      <w:pPr>
        <w:jc w:val="left"/>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w:t>
      </w:r>
    </w:p>
    <w:p w:rsidR="00286DAE" w:rsidRPr="00286DAE" w:rsidRDefault="00286DAE" w:rsidP="00286DAE">
      <w:pPr>
        <w:jc w:val="left"/>
        <w:rPr>
          <w:rFonts w:ascii="Times New Roman" w:eastAsia="Times New Roman" w:hAnsi="Times New Roman" w:cs="Times New Roman"/>
          <w:sz w:val="24"/>
          <w:szCs w:val="24"/>
          <w:lang w:eastAsia="pt-BR"/>
        </w:rPr>
      </w:pPr>
    </w:p>
    <w:p w:rsidR="00286DAE" w:rsidRPr="00286DAE" w:rsidRDefault="00286DAE" w:rsidP="00286DAE">
      <w:pPr>
        <w:jc w:val="center"/>
        <w:rPr>
          <w:rFonts w:ascii="Times New Roman" w:eastAsia="Times New Roman" w:hAnsi="Times New Roman" w:cs="Times New Roman"/>
          <w:b/>
          <w:sz w:val="24"/>
          <w:szCs w:val="20"/>
          <w:lang w:eastAsia="pt-BR"/>
        </w:rPr>
      </w:pPr>
      <w:r w:rsidRPr="00286DAE">
        <w:rPr>
          <w:rFonts w:ascii="Times New Roman" w:eastAsia="Times New Roman" w:hAnsi="Times New Roman" w:cs="Times New Roman"/>
          <w:b/>
          <w:sz w:val="24"/>
          <w:szCs w:val="20"/>
          <w:lang w:eastAsia="pt-BR"/>
        </w:rPr>
        <w:t>Seção III</w:t>
      </w:r>
    </w:p>
    <w:p w:rsidR="00286DAE" w:rsidRPr="00286DAE" w:rsidRDefault="00286DAE" w:rsidP="00286DAE">
      <w:pPr>
        <w:jc w:val="center"/>
        <w:rPr>
          <w:rFonts w:ascii="Times New Roman" w:eastAsia="Times New Roman" w:hAnsi="Times New Roman" w:cs="Times New Roman"/>
          <w:b/>
          <w:sz w:val="24"/>
          <w:szCs w:val="20"/>
          <w:lang w:eastAsia="pt-BR"/>
        </w:rPr>
      </w:pPr>
      <w:r w:rsidRPr="00286DAE">
        <w:rPr>
          <w:rFonts w:ascii="Times New Roman" w:eastAsia="Times New Roman" w:hAnsi="Times New Roman" w:cs="Times New Roman"/>
          <w:b/>
          <w:sz w:val="24"/>
          <w:szCs w:val="20"/>
          <w:lang w:eastAsia="pt-BR"/>
        </w:rPr>
        <w:t>Da Responsabilidade por Vício do Produto e do Serviço</w:t>
      </w:r>
    </w:p>
    <w:p w:rsidR="00286DAE" w:rsidRPr="00286DAE" w:rsidRDefault="00286DAE" w:rsidP="00286DAE">
      <w:pPr>
        <w:ind w:firstLine="1134"/>
        <w:rPr>
          <w:rFonts w:ascii="Times New Roman" w:eastAsia="Times New Roman" w:hAnsi="Times New Roman" w:cs="Times New Roman"/>
          <w:sz w:val="24"/>
          <w:szCs w:val="20"/>
          <w:lang w:eastAsia="pt-BR"/>
        </w:rPr>
      </w:pP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Art. 18. Os fornecedores de produtos de consumo duráveis ou não duráveis respondem solidariamente pelos vícios de qualidade ou quantidade que os tornem impróprios ou inadequados ao consumo a que se destinam ou lhes diminuam o valor, assim como por aqueles decorrentes da disparidade, com as indicações constantes do recipiente, da </w:t>
      </w:r>
      <w:r w:rsidRPr="00286DAE">
        <w:rPr>
          <w:rFonts w:ascii="Times New Roman" w:eastAsia="Times New Roman" w:hAnsi="Times New Roman" w:cs="Times New Roman"/>
          <w:sz w:val="24"/>
          <w:szCs w:val="20"/>
          <w:lang w:eastAsia="pt-BR"/>
        </w:rPr>
        <w:lastRenderedPageBreak/>
        <w:t xml:space="preserve">embalagem, rotulagem ou mensagem publicitária, respeitadas as variações decorrentes de sua natureza, podendo o consumidor exigir a substituição das partes viciadas.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1º Não sendo o vício sanado no prazo máximo de trinta dias, pode o consumidor exigir, alternativamente e à sua escolha: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 - a substituição do produto por outro da mesma espécie, em perfeitas condições de uso;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II - a restituição imediata da quantia paga, monetariamente atualizada, sem prejuízo de eventuais perdas e danos;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III - o abatimento proporcional do preço.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2º Poderão as partes convencionar a redução ou ampliação do prazo previsto no parágrafo anterior, não podendo ser inferior a sete nem superior a cento e oitenta dias. Nos contratos de adesão, a cláusula de prazo deverá ser convencionada em separado, por meio de manifestação expressa do consumidor.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3º O consumidor poderá fazer uso imediato das alternativas do § 1º deste artigo sempre que, em razão da extensão do vício, a substituição das partes viciadas puder comprometer a qualidade ou características do produto, diminuir-lhe o valor ou se tratar de produto essencial.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4º Tendo o consumidor optado pela alternativa do inciso I do § 1° deste artigo, e não sendo possível a substituição do bem, poderá haver substituição por outro de espécie, marca ou modelo diversos, mediante complementação ou restituição de eventual diferença de preço, sem prejuízo do disposto nos incisos II e III do § 1º deste artigo.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5º No caso de fornecimento de produtos </w:t>
      </w:r>
      <w:r w:rsidRPr="00286DAE">
        <w:rPr>
          <w:rFonts w:ascii="Times New Roman" w:eastAsia="Times New Roman" w:hAnsi="Times New Roman" w:cs="Times New Roman"/>
          <w:i/>
          <w:sz w:val="24"/>
          <w:szCs w:val="20"/>
          <w:lang w:eastAsia="pt-BR"/>
        </w:rPr>
        <w:t>in natura</w:t>
      </w:r>
      <w:r w:rsidRPr="00286DAE">
        <w:rPr>
          <w:rFonts w:ascii="Times New Roman" w:eastAsia="Times New Roman" w:hAnsi="Times New Roman" w:cs="Times New Roman"/>
          <w:sz w:val="24"/>
          <w:szCs w:val="20"/>
          <w:lang w:eastAsia="pt-BR"/>
        </w:rPr>
        <w:t xml:space="preserve">, será responsável perante o consumidor o fornecedor imediato, exceto quando identificado claramente seu produtor.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6º São impróprios ao uso e consumo: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 - os produtos cujos prazos de validade estejam vencidos;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II - os produtos deteriorados, alterados, adulterados, avariados, falsificados, corrompidos, fraudados, nocivos à vida ou à saúde, perigosos ou, ainda, aqueles em desacordo com as normas regulamentares de fabricação, distribuição ou apresentação;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III - os produtos que, por qualquer motivo, se revelem inadequados ao fim a que se destinam. </w:t>
      </w:r>
    </w:p>
    <w:p w:rsidR="00286DAE" w:rsidRPr="00286DAE" w:rsidRDefault="00286DAE" w:rsidP="00286DAE">
      <w:pPr>
        <w:ind w:firstLine="1134"/>
        <w:rPr>
          <w:rFonts w:ascii="Times New Roman" w:eastAsia="Times New Roman" w:hAnsi="Times New Roman" w:cs="Times New Roman"/>
          <w:sz w:val="24"/>
          <w:szCs w:val="20"/>
          <w:lang w:eastAsia="pt-BR"/>
        </w:rPr>
      </w:pP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Art. 19. Os fornecedores respondem solidariamente pelos vícios de quantidade do produto sempre que, respeitadas as variações decorrentes de sua natureza, seu conteúdo líquido for inferior às indicações constantes do recipiente, da embalagem, rotulagem ou de mensagem publicitária, podendo o consumidor exigir, alternativamente e à sua escolha: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 - o abatimento proporcional do preço;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II - complementação do peso ou medida;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III - a substituição do produto por outro da mesma espécie, marca ou modelo, sem os aludidos vícios;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IV - a restituição imediata da quantia paga, monetariamente atualizada, sem prejuízo de eventuais perdas e danos.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1º Aplica-se a este artigo o disposto no § 4° do artigo anterior.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2º O fornecedor imediato será responsável quando fizer a pesagem ou a medição e o instrumento utilizado não estiver aferido segundo os padrões oficiais. </w:t>
      </w:r>
    </w:p>
    <w:p w:rsidR="00286DAE" w:rsidRPr="00286DAE" w:rsidRDefault="00286DAE" w:rsidP="00286DAE">
      <w:pPr>
        <w:ind w:firstLine="1134"/>
        <w:rPr>
          <w:rFonts w:ascii="Times New Roman" w:eastAsia="Times New Roman" w:hAnsi="Times New Roman" w:cs="Times New Roman"/>
          <w:sz w:val="24"/>
          <w:szCs w:val="20"/>
          <w:lang w:eastAsia="pt-BR"/>
        </w:rPr>
      </w:pP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Art. 20. O fornecedor de serviços responde pelos vícios de qualidade que os tornem impróprios ao consumo ou lhes diminuam o valor, assim como por aqueles decorrentes da disparidade com as indicações constantes da oferta ou mensagem publicitária, podendo o consumidor exigir, alternativamente e à sua escolha: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 - a reexecução dos serviços, sem custo adicional e quando cabível;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lastRenderedPageBreak/>
        <w:t xml:space="preserve">II - a restituição imediata da quantia paga, monetariamente atualizada, sem prejuízo de eventuais perdas e danos;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III - o abatimento proporcional do preço.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1º A reexecução dos serviços poderá ser confiada a terceiros devidamente capacitados, por conta e risco do fornecedor.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2º São impróprios os serviços que se mostrem inadequados para os fins que razoavelmente deles se esperam, bem como aqueles que não atendam as normas regulamentares de prestabilidade. </w:t>
      </w:r>
    </w:p>
    <w:p w:rsidR="00286DAE" w:rsidRPr="00286DAE" w:rsidRDefault="00286DAE" w:rsidP="00286DAE">
      <w:pPr>
        <w:ind w:firstLine="1134"/>
        <w:rPr>
          <w:rFonts w:ascii="Times New Roman" w:eastAsia="Times New Roman" w:hAnsi="Times New Roman" w:cs="Times New Roman"/>
          <w:sz w:val="24"/>
          <w:szCs w:val="20"/>
          <w:lang w:eastAsia="pt-BR"/>
        </w:rPr>
      </w:pP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Art. 21. No fornecimento de serviços que tenham por objetivo a reparação de qualquer produto considerar-se-á implícita a obrigação do fornecedor de empregar componentes de reposição originais adequados e novos, ou que mantenham as especificações técnicas do fabricante, salvo, quanto a estes últimos, autorização em contrário do consumidor. </w:t>
      </w:r>
    </w:p>
    <w:p w:rsidR="00286DAE" w:rsidRPr="00286DAE" w:rsidRDefault="00286DAE" w:rsidP="00286DAE">
      <w:pPr>
        <w:ind w:firstLine="1134"/>
        <w:rPr>
          <w:rFonts w:ascii="Times New Roman" w:eastAsia="Times New Roman" w:hAnsi="Times New Roman" w:cs="Times New Roman"/>
          <w:sz w:val="24"/>
          <w:szCs w:val="20"/>
          <w:lang w:eastAsia="pt-BR"/>
        </w:rPr>
      </w:pP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Art. 22. Os órgãos públicos, por si ou suas empresas, concessionárias, permissionárias ou sob qualquer outra forma de empreendimento, são obrigados a fornecer serviços adequados, eficientes, seguros e, quanto aos essenciais, contínuos.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Parágrafo único. Nos casos de descumprimento, total ou parcial, das obrigações referidas neste artigo, serão as pessoas jurídicas compelidas a cumpri-las e a reparar os danos causados, na forma prevista neste código. </w:t>
      </w:r>
    </w:p>
    <w:p w:rsidR="00286DAE" w:rsidRPr="00286DAE" w:rsidRDefault="00286DAE" w:rsidP="00286DAE">
      <w:pPr>
        <w:ind w:firstLine="1134"/>
        <w:rPr>
          <w:rFonts w:ascii="Times New Roman" w:eastAsia="Times New Roman" w:hAnsi="Times New Roman" w:cs="Times New Roman"/>
          <w:sz w:val="24"/>
          <w:szCs w:val="20"/>
          <w:lang w:eastAsia="pt-BR"/>
        </w:rPr>
      </w:pP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Art. 23. A ignorância do fornecedor sobre os vícios de qualidade por inadequação dos produtos e serviços não o exime de responsabilidade. </w:t>
      </w:r>
    </w:p>
    <w:p w:rsidR="00286DAE" w:rsidRPr="00286DAE" w:rsidRDefault="00286DAE" w:rsidP="00286DAE">
      <w:pPr>
        <w:ind w:firstLine="1134"/>
        <w:rPr>
          <w:rFonts w:ascii="Times New Roman" w:eastAsia="Times New Roman" w:hAnsi="Times New Roman" w:cs="Times New Roman"/>
          <w:sz w:val="24"/>
          <w:szCs w:val="20"/>
          <w:lang w:eastAsia="pt-BR"/>
        </w:rPr>
      </w:pP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Art. 24. A garantia legal de adequação do produto ou serviço independe de termo expresso, vedada a exoneração contratual do fornecedor. </w:t>
      </w:r>
    </w:p>
    <w:p w:rsidR="00286DAE" w:rsidRPr="00286DAE" w:rsidRDefault="00286DAE" w:rsidP="00286DAE">
      <w:pPr>
        <w:ind w:firstLine="1134"/>
        <w:rPr>
          <w:rFonts w:ascii="Times New Roman" w:eastAsia="Times New Roman" w:hAnsi="Times New Roman" w:cs="Times New Roman"/>
          <w:sz w:val="24"/>
          <w:szCs w:val="20"/>
          <w:lang w:eastAsia="pt-BR"/>
        </w:rPr>
      </w:pP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Art. 25. É vedada a estipulação contratual de cláusula que impossibilite, exonere ou atenue a obrigação de indenizar prevista nesta e nas seções anteriores.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1º Havendo mais de um responsável pela causação do dano, todos responderão solidariamente pela reparação prevista nesta e nas seções anteriores.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2º Sendo o dano causado por componente ou peça incorporada ao produto ou serviço, são responsáveis solidários seu fabricante, construtor ou importador e o que realizou a incorporação. </w:t>
      </w:r>
    </w:p>
    <w:p w:rsidR="00286DAE" w:rsidRPr="00286DAE" w:rsidRDefault="00286DAE" w:rsidP="00286DAE">
      <w:pPr>
        <w:ind w:firstLine="1134"/>
        <w:rPr>
          <w:rFonts w:ascii="Times New Roman" w:eastAsia="Times New Roman" w:hAnsi="Times New Roman" w:cs="Times New Roman"/>
          <w:sz w:val="24"/>
          <w:szCs w:val="20"/>
          <w:lang w:eastAsia="pt-BR"/>
        </w:rPr>
      </w:pPr>
    </w:p>
    <w:p w:rsidR="00286DAE" w:rsidRPr="00286DAE" w:rsidRDefault="00286DAE" w:rsidP="00286DAE">
      <w:pPr>
        <w:jc w:val="center"/>
        <w:rPr>
          <w:rFonts w:ascii="Times New Roman" w:eastAsia="Times New Roman" w:hAnsi="Times New Roman" w:cs="Times New Roman"/>
          <w:b/>
          <w:sz w:val="24"/>
          <w:szCs w:val="20"/>
          <w:lang w:eastAsia="pt-BR"/>
        </w:rPr>
      </w:pPr>
      <w:r w:rsidRPr="00286DAE">
        <w:rPr>
          <w:rFonts w:ascii="Times New Roman" w:eastAsia="Times New Roman" w:hAnsi="Times New Roman" w:cs="Times New Roman"/>
          <w:b/>
          <w:sz w:val="24"/>
          <w:szCs w:val="20"/>
          <w:lang w:eastAsia="pt-BR"/>
        </w:rPr>
        <w:t>Seção IV</w:t>
      </w:r>
    </w:p>
    <w:p w:rsidR="00286DAE" w:rsidRPr="00286DAE" w:rsidRDefault="00286DAE" w:rsidP="00286DAE">
      <w:pPr>
        <w:keepNext/>
        <w:jc w:val="center"/>
        <w:outlineLvl w:val="0"/>
        <w:rPr>
          <w:rFonts w:ascii="Times New Roman" w:eastAsia="Times New Roman" w:hAnsi="Times New Roman" w:cs="Times New Roman"/>
          <w:b/>
          <w:sz w:val="24"/>
          <w:szCs w:val="24"/>
          <w:lang w:eastAsia="pt-BR"/>
        </w:rPr>
      </w:pPr>
      <w:r w:rsidRPr="00286DAE">
        <w:rPr>
          <w:rFonts w:ascii="Times New Roman" w:eastAsia="Times New Roman" w:hAnsi="Times New Roman" w:cs="Times New Roman"/>
          <w:b/>
          <w:sz w:val="24"/>
          <w:szCs w:val="24"/>
          <w:lang w:eastAsia="pt-BR"/>
        </w:rPr>
        <w:t>Da Decadência e da Prescrição</w:t>
      </w:r>
    </w:p>
    <w:p w:rsidR="00286DAE" w:rsidRPr="00286DAE" w:rsidRDefault="00286DAE" w:rsidP="00286DAE">
      <w:pPr>
        <w:ind w:firstLine="1134"/>
        <w:rPr>
          <w:rFonts w:ascii="Times New Roman" w:eastAsia="Times New Roman" w:hAnsi="Times New Roman" w:cs="Times New Roman"/>
          <w:sz w:val="24"/>
          <w:szCs w:val="20"/>
          <w:lang w:eastAsia="pt-BR"/>
        </w:rPr>
      </w:pP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Art. 26. O direito de reclamar pelos vícios aparentes ou de fácil constatação caduca em: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 - trinta dias, tratando-se de fornecimento de serviço e de produtos não duráveis;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II - noventa dias, tratando-se de fornecimento de serviço e de produtos duráveis.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1º Inicia-se a contagem do prazo decadencial a partir da entrega efetiva do produto ou do término da execução dos serviços.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 2º Obstam a decadência: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 - a reclamação comprovadamente formulada pelo consumidor perante o fornecedor de produtos e serviços até a resposta negativa correspondente, que deve ser transmitida de forma inequívoca;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II - (VETADO).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t xml:space="preserve">III - a instauração de inquérito civil, até seu encerramento. </w:t>
      </w:r>
    </w:p>
    <w:p w:rsidR="00286DAE" w:rsidRPr="00286DAE" w:rsidRDefault="00286DAE" w:rsidP="00286DAE">
      <w:pPr>
        <w:ind w:firstLine="1134"/>
        <w:rPr>
          <w:rFonts w:ascii="Times New Roman" w:eastAsia="Times New Roman" w:hAnsi="Times New Roman" w:cs="Times New Roman"/>
          <w:sz w:val="24"/>
          <w:szCs w:val="20"/>
          <w:lang w:eastAsia="pt-BR"/>
        </w:rPr>
      </w:pPr>
      <w:r w:rsidRPr="00286DAE">
        <w:rPr>
          <w:rFonts w:ascii="Times New Roman" w:eastAsia="Times New Roman" w:hAnsi="Times New Roman" w:cs="Times New Roman"/>
          <w:sz w:val="24"/>
          <w:szCs w:val="20"/>
          <w:lang w:eastAsia="pt-BR"/>
        </w:rPr>
        <w:lastRenderedPageBreak/>
        <w:t xml:space="preserve">§ 3º Tratando-se de vício oculto, o prazo decadencial inicia-se no momento em que ficar evidenciado o defeito. </w:t>
      </w:r>
    </w:p>
    <w:p w:rsidR="00286DAE" w:rsidRPr="00286DAE" w:rsidRDefault="00286DAE" w:rsidP="00286DAE">
      <w:pPr>
        <w:jc w:val="left"/>
        <w:rPr>
          <w:rFonts w:ascii="Times New Roman" w:eastAsia="Times New Roman" w:hAnsi="Times New Roman" w:cs="Times New Roman"/>
          <w:sz w:val="24"/>
          <w:szCs w:val="24"/>
          <w:lang w:eastAsia="pt-BR"/>
        </w:rPr>
      </w:pPr>
      <w:r w:rsidRPr="00286DAE">
        <w:rPr>
          <w:rFonts w:ascii="Times New Roman" w:eastAsia="Times New Roman" w:hAnsi="Times New Roman" w:cs="Times New Roman"/>
          <w:sz w:val="24"/>
          <w:szCs w:val="24"/>
          <w:lang w:eastAsia="pt-BR"/>
        </w:rPr>
        <w:t>..............................................................................................................................................................................................................................................................................................................</w:t>
      </w:r>
    </w:p>
    <w:p w:rsidR="00286DAE" w:rsidRPr="00286DAE" w:rsidRDefault="00286DAE" w:rsidP="00286DAE">
      <w:pPr>
        <w:jc w:val="left"/>
        <w:rPr>
          <w:rFonts w:ascii="Times New Roman" w:eastAsia="Times New Roman" w:hAnsi="Times New Roman" w:cs="Times New Roman"/>
          <w:sz w:val="24"/>
          <w:szCs w:val="24"/>
          <w:lang w:eastAsia="pt-BR"/>
        </w:rPr>
      </w:pPr>
    </w:p>
    <w:p w:rsidR="00286DAE" w:rsidRPr="00286DAE" w:rsidRDefault="00286DAE" w:rsidP="00286DAE">
      <w:pPr>
        <w:pBdr>
          <w:top w:val="single" w:sz="4" w:space="1" w:color="auto"/>
          <w:left w:val="single" w:sz="4" w:space="4" w:color="auto"/>
          <w:bottom w:val="single" w:sz="4" w:space="1" w:color="auto"/>
          <w:right w:val="single" w:sz="4" w:space="4" w:color="auto"/>
        </w:pBdr>
        <w:jc w:val="center"/>
        <w:rPr>
          <w:b/>
          <w:sz w:val="22"/>
        </w:rPr>
      </w:pPr>
      <w:bookmarkStart w:id="14" w:name="z947612_FIMDOCUMENTO"/>
      <w:bookmarkEnd w:id="1"/>
      <w:bookmarkEnd w:id="11"/>
      <w:r>
        <w:rPr>
          <w:b/>
          <w:sz w:val="22"/>
        </w:rPr>
        <w:t>FIM DO DOCUMENTO</w:t>
      </w:r>
      <w:bookmarkEnd w:id="14"/>
    </w:p>
    <w:sectPr w:rsidR="00286DAE" w:rsidRPr="00286DAE" w:rsidSect="00286DAE">
      <w:headerReference w:type="even" r:id="rId9"/>
      <w:headerReference w:type="default" r:id="rId10"/>
      <w:footerReference w:type="even" r:id="rId11"/>
      <w:footerReference w:type="default" r:id="rId12"/>
      <w:footerReference w:type="first" r:id="rId1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0DE" w:rsidRDefault="00E360DE" w:rsidP="00286DAE">
      <w:r>
        <w:separator/>
      </w:r>
    </w:p>
  </w:endnote>
  <w:endnote w:type="continuationSeparator" w:id="0">
    <w:p w:rsidR="00E360DE" w:rsidRDefault="00E360DE" w:rsidP="00286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AE" w:rsidRDefault="00286DAE" w:rsidP="00286DA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286DAE" w:rsidRDefault="00286DAE" w:rsidP="00286DAE">
    <w:pPr>
      <w:pStyle w:val="Rodap"/>
      <w:jc w:val="center"/>
      <w:rPr>
        <w:rFonts w:ascii="Courier New" w:hAnsi="Courier New" w:cs="Courier New"/>
      </w:rPr>
    </w:pPr>
    <w:r>
      <w:rPr>
        <w:rFonts w:ascii="Courier New" w:hAnsi="Courier New" w:cs="Courier New"/>
      </w:rPr>
      <w:t>CONFERE COM O ORIGINAL AUTENTICADO</w:t>
    </w:r>
  </w:p>
  <w:p w:rsidR="00286DAE" w:rsidRPr="00286DAE" w:rsidRDefault="00286DAE" w:rsidP="00286DAE">
    <w:pPr>
      <w:pStyle w:val="Rodap"/>
      <w:jc w:val="center"/>
    </w:pPr>
    <w:r>
      <w:t>PL 391/2015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AE" w:rsidRDefault="00286DAE" w:rsidP="00286DA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286DAE" w:rsidRDefault="00286DAE" w:rsidP="00286DAE">
    <w:pPr>
      <w:pStyle w:val="Rodap"/>
      <w:jc w:val="center"/>
      <w:rPr>
        <w:rFonts w:ascii="Courier New" w:hAnsi="Courier New" w:cs="Courier New"/>
      </w:rPr>
    </w:pPr>
    <w:r>
      <w:rPr>
        <w:rFonts w:ascii="Courier New" w:hAnsi="Courier New" w:cs="Courier New"/>
      </w:rPr>
      <w:t>CONFERE COM O ORIGINAL AUTENTICADO</w:t>
    </w:r>
  </w:p>
  <w:p w:rsidR="00286DAE" w:rsidRPr="00286DAE" w:rsidRDefault="00286DAE" w:rsidP="00286DAE">
    <w:pPr>
      <w:pStyle w:val="Rodap"/>
      <w:jc w:val="center"/>
    </w:pPr>
    <w:r>
      <w:t>PL 391/2015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AE" w:rsidRDefault="00286DAE" w:rsidP="00286DA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286DAE" w:rsidRPr="00286DAE" w:rsidRDefault="00286DAE" w:rsidP="00286DAE">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0DE" w:rsidRDefault="00E360DE" w:rsidP="00286DAE">
      <w:r>
        <w:separator/>
      </w:r>
    </w:p>
  </w:footnote>
  <w:footnote w:type="continuationSeparator" w:id="0">
    <w:p w:rsidR="00E360DE" w:rsidRDefault="00E360DE" w:rsidP="00286D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AE" w:rsidRPr="00286DAE" w:rsidRDefault="00286DAE" w:rsidP="00286DAE">
    <w:pPr>
      <w:pStyle w:val="Cabealho"/>
      <w:jc w:val="left"/>
    </w:pPr>
    <w:r>
      <w:fldChar w:fldCharType="begin"/>
    </w:r>
    <w:r>
      <w:instrText xml:space="preserve"> PAGE  \* Arabic  \* MERGEFORMAT </w:instrText>
    </w:r>
    <w:r>
      <w:fldChar w:fldCharType="separate"/>
    </w:r>
    <w:r w:rsidR="00C3328A">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AE" w:rsidRPr="00286DAE" w:rsidRDefault="00286DAE" w:rsidP="00286DAE">
    <w:pPr>
      <w:pStyle w:val="Cabealho"/>
      <w:jc w:val="right"/>
    </w:pPr>
    <w:r>
      <w:fldChar w:fldCharType="begin"/>
    </w:r>
    <w:r>
      <w:instrText xml:space="preserve"> PAGE  \* Arabic  \* MERGEFORMAT </w:instrText>
    </w:r>
    <w:r>
      <w:fldChar w:fldCharType="separate"/>
    </w:r>
    <w:r w:rsidR="00C3328A">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DAE"/>
    <w:rsid w:val="00286DAE"/>
    <w:rsid w:val="00602ABF"/>
    <w:rsid w:val="00C3328A"/>
    <w:rsid w:val="00CC74BD"/>
    <w:rsid w:val="00E360DE"/>
    <w:rsid w:val="00F470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86DAE"/>
    <w:rPr>
      <w:rFonts w:ascii="Tahoma" w:hAnsi="Tahoma" w:cs="Tahoma"/>
      <w:sz w:val="16"/>
      <w:szCs w:val="16"/>
    </w:rPr>
  </w:style>
  <w:style w:type="character" w:customStyle="1" w:styleId="TextodebaloChar">
    <w:name w:val="Texto de balão Char"/>
    <w:basedOn w:val="Fontepargpadro"/>
    <w:link w:val="Textodebalo"/>
    <w:uiPriority w:val="99"/>
    <w:semiHidden/>
    <w:rsid w:val="00286DAE"/>
    <w:rPr>
      <w:rFonts w:ascii="Tahoma" w:hAnsi="Tahoma" w:cs="Tahoma"/>
      <w:sz w:val="16"/>
      <w:szCs w:val="16"/>
    </w:rPr>
  </w:style>
  <w:style w:type="paragraph" w:styleId="Cabealho">
    <w:name w:val="header"/>
    <w:basedOn w:val="Normal"/>
    <w:link w:val="CabealhoChar"/>
    <w:uiPriority w:val="99"/>
    <w:unhideWhenUsed/>
    <w:rsid w:val="00286DAE"/>
    <w:pPr>
      <w:tabs>
        <w:tab w:val="center" w:pos="4252"/>
        <w:tab w:val="right" w:pos="8504"/>
      </w:tabs>
    </w:pPr>
  </w:style>
  <w:style w:type="character" w:customStyle="1" w:styleId="CabealhoChar">
    <w:name w:val="Cabeçalho Char"/>
    <w:basedOn w:val="Fontepargpadro"/>
    <w:link w:val="Cabealho"/>
    <w:uiPriority w:val="99"/>
    <w:rsid w:val="00286DAE"/>
    <w:rPr>
      <w:rFonts w:ascii="Arial" w:hAnsi="Arial" w:cs="Arial"/>
      <w:sz w:val="20"/>
    </w:rPr>
  </w:style>
  <w:style w:type="paragraph" w:styleId="Rodap">
    <w:name w:val="footer"/>
    <w:basedOn w:val="Normal"/>
    <w:link w:val="RodapChar"/>
    <w:uiPriority w:val="99"/>
    <w:unhideWhenUsed/>
    <w:rsid w:val="00286DAE"/>
    <w:pPr>
      <w:tabs>
        <w:tab w:val="center" w:pos="4252"/>
        <w:tab w:val="right" w:pos="8504"/>
      </w:tabs>
    </w:pPr>
  </w:style>
  <w:style w:type="character" w:customStyle="1" w:styleId="RodapChar">
    <w:name w:val="Rodapé Char"/>
    <w:basedOn w:val="Fontepargpadro"/>
    <w:link w:val="Rodap"/>
    <w:uiPriority w:val="99"/>
    <w:rsid w:val="00286DAE"/>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86DAE"/>
    <w:rPr>
      <w:rFonts w:ascii="Tahoma" w:hAnsi="Tahoma" w:cs="Tahoma"/>
      <w:sz w:val="16"/>
      <w:szCs w:val="16"/>
    </w:rPr>
  </w:style>
  <w:style w:type="character" w:customStyle="1" w:styleId="TextodebaloChar">
    <w:name w:val="Texto de balão Char"/>
    <w:basedOn w:val="Fontepargpadro"/>
    <w:link w:val="Textodebalo"/>
    <w:uiPriority w:val="99"/>
    <w:semiHidden/>
    <w:rsid w:val="00286DAE"/>
    <w:rPr>
      <w:rFonts w:ascii="Tahoma" w:hAnsi="Tahoma" w:cs="Tahoma"/>
      <w:sz w:val="16"/>
      <w:szCs w:val="16"/>
    </w:rPr>
  </w:style>
  <w:style w:type="paragraph" w:styleId="Cabealho">
    <w:name w:val="header"/>
    <w:basedOn w:val="Normal"/>
    <w:link w:val="CabealhoChar"/>
    <w:uiPriority w:val="99"/>
    <w:unhideWhenUsed/>
    <w:rsid w:val="00286DAE"/>
    <w:pPr>
      <w:tabs>
        <w:tab w:val="center" w:pos="4252"/>
        <w:tab w:val="right" w:pos="8504"/>
      </w:tabs>
    </w:pPr>
  </w:style>
  <w:style w:type="character" w:customStyle="1" w:styleId="CabealhoChar">
    <w:name w:val="Cabeçalho Char"/>
    <w:basedOn w:val="Fontepargpadro"/>
    <w:link w:val="Cabealho"/>
    <w:uiPriority w:val="99"/>
    <w:rsid w:val="00286DAE"/>
    <w:rPr>
      <w:rFonts w:ascii="Arial" w:hAnsi="Arial" w:cs="Arial"/>
      <w:sz w:val="20"/>
    </w:rPr>
  </w:style>
  <w:style w:type="paragraph" w:styleId="Rodap">
    <w:name w:val="footer"/>
    <w:basedOn w:val="Normal"/>
    <w:link w:val="RodapChar"/>
    <w:uiPriority w:val="99"/>
    <w:unhideWhenUsed/>
    <w:rsid w:val="00286DAE"/>
    <w:pPr>
      <w:tabs>
        <w:tab w:val="center" w:pos="4252"/>
        <w:tab w:val="right" w:pos="8504"/>
      </w:tabs>
    </w:pPr>
  </w:style>
  <w:style w:type="character" w:customStyle="1" w:styleId="RodapChar">
    <w:name w:val="Rodapé Char"/>
    <w:basedOn w:val="Fontepargpadro"/>
    <w:link w:val="Rodap"/>
    <w:uiPriority w:val="99"/>
    <w:rsid w:val="00286DAE"/>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48621&amp;seqTexto=1&amp;PalavrasDestaqu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2309</Words>
  <Characters>12913</Characters>
  <Application>Microsoft Office Word</Application>
  <DocSecurity>0</DocSecurity>
  <Lines>293</Lines>
  <Paragraphs>139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15083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2015-03-16T20:05:00Z</dcterms:created>
  <dcterms:modified xsi:type="dcterms:W3CDTF">2015-03-16T21:05:00Z</dcterms:modified>
</cp:coreProperties>
</file>