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B35" w:rsidRDefault="009D3891" w:rsidP="004171FE">
      <w:pPr>
        <w:jc w:val="center"/>
      </w:pPr>
      <w:bookmarkStart w:id="0" w:name="z955535_BRASAO"/>
      <w:bookmarkStart w:id="1" w:name="z955535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3891" w:rsidRPr="009D3891" w:rsidRDefault="009D3891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9D3891">
                              <w:rPr>
                                <w:rFonts w:ascii="3 of 9 Barcode" w:hAnsi="3 of 9 Barcode"/>
                                <w:sz w:val="34"/>
                              </w:rPr>
                              <w:t>*C0051561A*</w:t>
                            </w:r>
                            <w:bookmarkStart w:id="2" w:name="_GoBack"/>
                          </w:p>
                          <w:bookmarkEnd w:id="2"/>
                          <w:p w:rsidR="009D3891" w:rsidRPr="009D3891" w:rsidRDefault="009D389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C0051561A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9D3891" w:rsidRPr="009D3891" w:rsidRDefault="009D3891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9D3891">
                        <w:rPr>
                          <w:rFonts w:ascii="3 of 9 Barcode" w:hAnsi="3 of 9 Barcode"/>
                          <w:sz w:val="34"/>
                        </w:rPr>
                        <w:t>*C0051561A*</w:t>
                      </w:r>
                      <w:bookmarkStart w:id="3" w:name="_GoBack"/>
                    </w:p>
                    <w:bookmarkEnd w:id="3"/>
                    <w:p w:rsidR="009D3891" w:rsidRPr="009D3891" w:rsidRDefault="009D3891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C0051561A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171FE">
        <w:rPr>
          <w:noProof/>
          <w:lang w:eastAsia="pt-BR"/>
        </w:rPr>
        <w:drawing>
          <wp:inline distT="0" distB="0" distL="0" distR="0" wp14:anchorId="2DCB2318" wp14:editId="650E2BCE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71FE" w:rsidRDefault="004171FE" w:rsidP="004171FE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4171FE" w:rsidRDefault="004171FE" w:rsidP="004171FE">
      <w:pPr>
        <w:rPr>
          <w:sz w:val="24"/>
        </w:rPr>
      </w:pPr>
    </w:p>
    <w:p w:rsidR="004171FE" w:rsidRDefault="004171FE" w:rsidP="004171FE">
      <w:pPr>
        <w:keepNext/>
        <w:keepLines/>
        <w:jc w:val="center"/>
        <w:rPr>
          <w:b/>
          <w:sz w:val="44"/>
        </w:rPr>
      </w:pPr>
      <w:bookmarkStart w:id="4" w:name="z955535_TITULO"/>
      <w:r>
        <w:rPr>
          <w:b/>
          <w:sz w:val="44"/>
        </w:rPr>
        <w:t>PROJETO DE LEI N.º 530, DE 2015</w:t>
      </w:r>
      <w:bookmarkEnd w:id="4"/>
    </w:p>
    <w:p w:rsidR="004171FE" w:rsidRDefault="004171FE" w:rsidP="004171FE">
      <w:pPr>
        <w:keepLines/>
        <w:jc w:val="center"/>
        <w:rPr>
          <w:b/>
          <w:sz w:val="28"/>
        </w:rPr>
      </w:pPr>
      <w:bookmarkStart w:id="5" w:name="z955535_AUTOR"/>
      <w:r>
        <w:rPr>
          <w:b/>
          <w:sz w:val="28"/>
        </w:rPr>
        <w:t>(Do Sr. Carlos Bezerra)</w:t>
      </w:r>
      <w:bookmarkEnd w:id="5"/>
    </w:p>
    <w:p w:rsidR="004171FE" w:rsidRDefault="004171FE" w:rsidP="004171FE">
      <w:pPr>
        <w:keepLines/>
        <w:jc w:val="center"/>
        <w:rPr>
          <w:b/>
          <w:sz w:val="28"/>
        </w:rPr>
      </w:pPr>
    </w:p>
    <w:p w:rsidR="004171FE" w:rsidRDefault="004171FE" w:rsidP="004171FE">
      <w:pPr>
        <w:rPr>
          <w:sz w:val="28"/>
        </w:rPr>
      </w:pPr>
      <w:bookmarkStart w:id="6" w:name="z955535_EMENTA"/>
      <w:r>
        <w:rPr>
          <w:sz w:val="28"/>
        </w:rPr>
        <w:t xml:space="preserve">Altera a Lei nº 12.815, de 2013, para dispor a respeito da integração de portos organizados e terminais portuários de uso privado ao sistema nacional de vias terrestres. </w:t>
      </w:r>
      <w:bookmarkEnd w:id="6"/>
    </w:p>
    <w:p w:rsidR="004171FE" w:rsidRDefault="004171FE" w:rsidP="004171FE">
      <w:pPr>
        <w:rPr>
          <w:sz w:val="28"/>
        </w:rPr>
      </w:pPr>
    </w:p>
    <w:p w:rsidR="004171FE" w:rsidRDefault="004171FE" w:rsidP="00417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55535_DESPACHO"/>
    </w:p>
    <w:p w:rsidR="004171FE" w:rsidRDefault="004171FE" w:rsidP="00417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4171FE" w:rsidRDefault="004171FE" w:rsidP="00417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APENSE-SE AO PL</w:t>
      </w:r>
      <w:r w:rsidR="003257F8">
        <w:rPr>
          <w:sz w:val="28"/>
        </w:rPr>
        <w:t xml:space="preserve"> </w:t>
      </w:r>
      <w:r>
        <w:rPr>
          <w:sz w:val="28"/>
        </w:rPr>
        <w:t xml:space="preserve">7814/2014. </w:t>
      </w:r>
    </w:p>
    <w:p w:rsidR="004171FE" w:rsidRDefault="004171FE" w:rsidP="00417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4171FE" w:rsidRDefault="004171FE" w:rsidP="00417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55535_APRECIACAO"/>
      <w:bookmarkEnd w:id="7"/>
      <w:r>
        <w:rPr>
          <w:b/>
          <w:sz w:val="28"/>
        </w:rPr>
        <w:t>APRECIAÇÃO:</w:t>
      </w:r>
    </w:p>
    <w:p w:rsidR="004171FE" w:rsidRDefault="004171FE" w:rsidP="00417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4171FE" w:rsidRDefault="004171FE" w:rsidP="00417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4171FE" w:rsidRDefault="004171FE" w:rsidP="004171FE">
      <w:pPr>
        <w:rPr>
          <w:sz w:val="28"/>
        </w:rPr>
      </w:pPr>
    </w:p>
    <w:p w:rsidR="004171FE" w:rsidRDefault="004171FE" w:rsidP="004171FE">
      <w:pPr>
        <w:jc w:val="center"/>
        <w:rPr>
          <w:b/>
          <w:sz w:val="28"/>
        </w:rPr>
      </w:pPr>
      <w:bookmarkStart w:id="9" w:name="z955535_PUBINICIAL"/>
      <w:r>
        <w:rPr>
          <w:b/>
          <w:sz w:val="28"/>
        </w:rPr>
        <w:t>PUBLICAÇÃO INICIAL</w:t>
      </w:r>
    </w:p>
    <w:p w:rsidR="004171FE" w:rsidRDefault="004171FE" w:rsidP="004171FE">
      <w:pPr>
        <w:jc w:val="center"/>
        <w:rPr>
          <w:b/>
        </w:rPr>
      </w:pPr>
      <w:r>
        <w:rPr>
          <w:b/>
        </w:rPr>
        <w:t>Art. 137, caput - RICD</w:t>
      </w:r>
    </w:p>
    <w:p w:rsidR="004171FE" w:rsidRDefault="004171FE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End w:id="9"/>
    <w:p w:rsidR="004171FE" w:rsidRDefault="004171FE" w:rsidP="004171FE">
      <w:pPr>
        <w:rPr>
          <w:b/>
        </w:rPr>
      </w:pPr>
    </w:p>
    <w:p w:rsidR="004171FE" w:rsidRPr="004171FE" w:rsidRDefault="004171FE" w:rsidP="004171FE">
      <w:pPr>
        <w:widowControl w:val="0"/>
        <w:spacing w:after="6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bookmarkStart w:id="10" w:name="z955535_1305062_TEOR"/>
      <w:r w:rsidRPr="004171F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O</w:t>
      </w:r>
      <w:r w:rsidRPr="004171FE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 xml:space="preserve"> </w:t>
      </w:r>
      <w:r w:rsidRPr="004171F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Congresso Nacional</w:t>
      </w:r>
      <w:r w:rsidRPr="004171FE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 xml:space="preserve"> </w:t>
      </w:r>
      <w:r w:rsidRPr="004171F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decreta:</w:t>
      </w:r>
    </w:p>
    <w:p w:rsidR="004171FE" w:rsidRPr="004171FE" w:rsidRDefault="004171FE" w:rsidP="004171FE">
      <w:pPr>
        <w:spacing w:after="200" w:line="360" w:lineRule="exact"/>
        <w:ind w:firstLine="2302"/>
        <w:rPr>
          <w:rFonts w:eastAsia="Times New Roman" w:cs="Times New Roman"/>
          <w:snapToGrid w:val="0"/>
          <w:sz w:val="24"/>
          <w:szCs w:val="20"/>
          <w:lang w:eastAsia="pt-BR"/>
        </w:rPr>
      </w:pPr>
      <w:r w:rsidRPr="004171FE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Art. 1º</w:t>
      </w:r>
      <w:r w:rsidRPr="004171F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Esta Lei altera a Lei nº 12.815, de 5 de junho de 2013 (“</w:t>
      </w:r>
      <w:r w:rsidRPr="004171FE">
        <w:rPr>
          <w:rFonts w:eastAsia="Times New Roman"/>
          <w:snapToGrid w:val="0"/>
          <w:sz w:val="24"/>
          <w:szCs w:val="20"/>
          <w:lang w:eastAsia="pt-BR"/>
        </w:rPr>
        <w:t>Dispõe sobre a exploração direta e indireta pela União de portos e instalações portuárias e sobre as atividades desempenhadas pelos operadores portuários; altera as Leis n</w:t>
      </w:r>
      <w:r w:rsidRPr="004171FE">
        <w:rPr>
          <w:rFonts w:eastAsia="Times New Roman"/>
          <w:snapToGrid w:val="0"/>
          <w:sz w:val="24"/>
          <w:szCs w:val="20"/>
          <w:u w:val="single"/>
          <w:vertAlign w:val="superscript"/>
          <w:lang w:eastAsia="pt-BR"/>
        </w:rPr>
        <w:t>os</w:t>
      </w:r>
      <w:r w:rsidRPr="004171FE">
        <w:rPr>
          <w:rFonts w:eastAsia="Times New Roman"/>
          <w:snapToGrid w:val="0"/>
          <w:sz w:val="24"/>
          <w:szCs w:val="20"/>
          <w:lang w:eastAsia="pt-BR"/>
        </w:rPr>
        <w:t> 5.025, de 10 de junho de 1966, 10.233, de 5 de junho de 2001, 10.683, de 28 de maio de 2003, 9.719, de 27 de novembro de 1998, e 8.213, de 24 de julho de 1991; revoga as Leis n</w:t>
      </w:r>
      <w:r w:rsidRPr="004171FE">
        <w:rPr>
          <w:rFonts w:eastAsia="Times New Roman"/>
          <w:snapToGrid w:val="0"/>
          <w:sz w:val="24"/>
          <w:szCs w:val="20"/>
          <w:u w:val="single"/>
          <w:vertAlign w:val="superscript"/>
          <w:lang w:eastAsia="pt-BR"/>
        </w:rPr>
        <w:t>os</w:t>
      </w:r>
      <w:r w:rsidRPr="004171FE">
        <w:rPr>
          <w:rFonts w:eastAsia="Times New Roman"/>
          <w:snapToGrid w:val="0"/>
          <w:sz w:val="24"/>
          <w:szCs w:val="20"/>
          <w:lang w:eastAsia="pt-BR"/>
        </w:rPr>
        <w:t> 8.630, de 25 de fevereiro de 1993, e 11.610, de 12 de dezembro de 2007, e dispositivos das Leis n</w:t>
      </w:r>
      <w:r w:rsidRPr="004171FE">
        <w:rPr>
          <w:rFonts w:eastAsia="Times New Roman"/>
          <w:snapToGrid w:val="0"/>
          <w:sz w:val="24"/>
          <w:szCs w:val="20"/>
          <w:u w:val="single"/>
          <w:vertAlign w:val="superscript"/>
          <w:lang w:eastAsia="pt-BR"/>
        </w:rPr>
        <w:t>os</w:t>
      </w:r>
      <w:r w:rsidRPr="004171FE">
        <w:rPr>
          <w:rFonts w:eastAsia="Times New Roman"/>
          <w:snapToGrid w:val="0"/>
          <w:sz w:val="24"/>
          <w:szCs w:val="20"/>
          <w:lang w:eastAsia="pt-BR"/>
        </w:rPr>
        <w:t> 11.314, de 3 de julho de 2006, e 11.518, de 5 de setembro de 2007; e dá outras providências.”), para dispor a respeito da integração de portos organizados e terminais portuários de uso privado ao sistema nacional de vias terrestres (rodovias e ferrovias).</w:t>
      </w:r>
    </w:p>
    <w:p w:rsidR="004171FE" w:rsidRPr="004171FE" w:rsidRDefault="004171FE" w:rsidP="004171FE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4171FE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Art. 2º</w:t>
      </w:r>
      <w:r w:rsidRPr="004171F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A Lei nº 12.815, de 2013, passa a vigorar com as seguintes alterações:</w:t>
      </w:r>
    </w:p>
    <w:p w:rsidR="004171FE" w:rsidRPr="004171FE" w:rsidRDefault="004171FE" w:rsidP="004171FE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4171FE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 xml:space="preserve">I </w:t>
      </w:r>
      <w:r w:rsidRPr="004171F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– o inciso IX do art. 5º passa a vigorar com a seguinte redação:</w:t>
      </w:r>
    </w:p>
    <w:p w:rsidR="004171FE" w:rsidRPr="004171FE" w:rsidRDefault="004171FE" w:rsidP="004171FE">
      <w:pPr>
        <w:spacing w:after="100" w:line="280" w:lineRule="exact"/>
        <w:ind w:left="2302" w:firstLine="567"/>
        <w:rPr>
          <w:rFonts w:eastAsia="Times New Roman" w:cs="Times New Roman"/>
          <w:i/>
          <w:snapToGrid w:val="0"/>
          <w:color w:val="000000"/>
          <w:sz w:val="24"/>
          <w:szCs w:val="20"/>
          <w:lang w:eastAsia="pt-BR"/>
        </w:rPr>
      </w:pPr>
      <w:r w:rsidRPr="004171FE">
        <w:rPr>
          <w:rFonts w:eastAsia="Times New Roman" w:cs="Times New Roman"/>
          <w:i/>
          <w:snapToGrid w:val="0"/>
          <w:color w:val="000000"/>
          <w:sz w:val="24"/>
          <w:szCs w:val="20"/>
          <w:lang w:eastAsia="pt-BR"/>
        </w:rPr>
        <w:t>“Art. 5º................................................................</w:t>
      </w:r>
    </w:p>
    <w:p w:rsidR="004171FE" w:rsidRPr="004171FE" w:rsidRDefault="004171FE" w:rsidP="004171FE">
      <w:pPr>
        <w:spacing w:after="100" w:line="280" w:lineRule="exact"/>
        <w:ind w:left="2302" w:firstLine="567"/>
        <w:rPr>
          <w:rFonts w:eastAsia="Times New Roman" w:cs="Times New Roman"/>
          <w:i/>
          <w:snapToGrid w:val="0"/>
          <w:color w:val="000000"/>
          <w:sz w:val="24"/>
          <w:szCs w:val="20"/>
          <w:lang w:eastAsia="pt-BR"/>
        </w:rPr>
      </w:pPr>
      <w:r w:rsidRPr="004171FE">
        <w:rPr>
          <w:rFonts w:eastAsia="Times New Roman" w:cs="Times New Roman"/>
          <w:i/>
          <w:snapToGrid w:val="0"/>
          <w:color w:val="000000"/>
          <w:sz w:val="24"/>
          <w:szCs w:val="20"/>
          <w:lang w:eastAsia="pt-BR"/>
        </w:rPr>
        <w:t>.............................................................................</w:t>
      </w:r>
    </w:p>
    <w:p w:rsidR="004171FE" w:rsidRPr="004171FE" w:rsidRDefault="004171FE" w:rsidP="004171FE">
      <w:pPr>
        <w:spacing w:after="100" w:line="280" w:lineRule="exact"/>
        <w:ind w:left="2302" w:firstLine="567"/>
        <w:rPr>
          <w:rFonts w:eastAsia="Times New Roman"/>
          <w:i/>
          <w:snapToGrid w:val="0"/>
          <w:color w:val="000000"/>
          <w:sz w:val="24"/>
          <w:szCs w:val="20"/>
          <w:lang w:val="pt-PT" w:eastAsia="pt-BR"/>
        </w:rPr>
      </w:pPr>
      <w:r w:rsidRPr="004171FE">
        <w:rPr>
          <w:rFonts w:eastAsia="Times New Roman"/>
          <w:i/>
          <w:snapToGrid w:val="0"/>
          <w:color w:val="000000"/>
          <w:sz w:val="24"/>
          <w:szCs w:val="20"/>
          <w:lang w:val="pt-PT" w:eastAsia="pt-BR"/>
        </w:rPr>
        <w:t>IX - aos direitos, garantias e obrigações do contratante e do contratado, inclusive os relacionados a:</w:t>
      </w:r>
    </w:p>
    <w:p w:rsidR="004171FE" w:rsidRPr="004171FE" w:rsidRDefault="004171FE" w:rsidP="004171FE">
      <w:pPr>
        <w:spacing w:after="100" w:line="280" w:lineRule="exact"/>
        <w:ind w:left="2302" w:firstLine="567"/>
        <w:rPr>
          <w:rFonts w:eastAsia="Times New Roman"/>
          <w:i/>
          <w:snapToGrid w:val="0"/>
          <w:color w:val="000000"/>
          <w:sz w:val="24"/>
          <w:szCs w:val="20"/>
          <w:lang w:val="pt-PT" w:eastAsia="pt-BR"/>
        </w:rPr>
      </w:pPr>
      <w:r w:rsidRPr="004171FE">
        <w:rPr>
          <w:rFonts w:eastAsia="Times New Roman"/>
          <w:i/>
          <w:snapToGrid w:val="0"/>
          <w:color w:val="000000"/>
          <w:sz w:val="24"/>
          <w:szCs w:val="20"/>
          <w:lang w:val="pt-PT" w:eastAsia="pt-BR"/>
        </w:rPr>
        <w:t>a) necessidades futuras de suplementação, alteração e expansão da atividade e consequente modernização, aperfeiçoamento e ampliação das instalações; </w:t>
      </w:r>
    </w:p>
    <w:p w:rsidR="004171FE" w:rsidRPr="004171FE" w:rsidRDefault="004171FE" w:rsidP="004171FE">
      <w:pPr>
        <w:spacing w:after="100" w:line="280" w:lineRule="exact"/>
        <w:ind w:left="2302" w:firstLine="567"/>
        <w:rPr>
          <w:rFonts w:eastAsia="Times New Roman"/>
          <w:i/>
          <w:snapToGrid w:val="0"/>
          <w:color w:val="000000"/>
          <w:sz w:val="24"/>
          <w:szCs w:val="20"/>
          <w:lang w:val="pt-PT" w:eastAsia="pt-BR"/>
        </w:rPr>
      </w:pPr>
      <w:r w:rsidRPr="004171FE">
        <w:rPr>
          <w:rFonts w:eastAsia="Times New Roman"/>
          <w:i/>
          <w:snapToGrid w:val="0"/>
          <w:color w:val="000000"/>
          <w:sz w:val="24"/>
          <w:szCs w:val="20"/>
          <w:lang w:val="pt-PT" w:eastAsia="pt-BR"/>
        </w:rPr>
        <w:t>b) integração ao sistema nacional de vias terrestres, rodovias e ferrovias, em conformidade com as políticas e diretrizes de logística integrada e de preservação do meio ambiente.</w:t>
      </w:r>
    </w:p>
    <w:p w:rsidR="004171FE" w:rsidRPr="004171FE" w:rsidRDefault="004171FE" w:rsidP="004171FE">
      <w:pPr>
        <w:spacing w:after="100" w:line="280" w:lineRule="exact"/>
        <w:ind w:left="2302" w:firstLine="567"/>
        <w:rPr>
          <w:rFonts w:eastAsia="Times New Roman"/>
          <w:i/>
          <w:snapToGrid w:val="0"/>
          <w:color w:val="000000"/>
          <w:sz w:val="24"/>
          <w:szCs w:val="20"/>
          <w:lang w:val="pt-PT" w:eastAsia="pt-BR"/>
        </w:rPr>
      </w:pPr>
      <w:r w:rsidRPr="004171FE">
        <w:rPr>
          <w:rFonts w:eastAsia="Times New Roman"/>
          <w:i/>
          <w:snapToGrid w:val="0"/>
          <w:color w:val="000000"/>
          <w:sz w:val="24"/>
          <w:szCs w:val="20"/>
          <w:lang w:val="pt-PT" w:eastAsia="pt-BR"/>
        </w:rPr>
        <w:t>..............................................................................</w:t>
      </w:r>
    </w:p>
    <w:p w:rsidR="004171FE" w:rsidRPr="004171FE" w:rsidRDefault="004171FE" w:rsidP="004171FE">
      <w:pPr>
        <w:spacing w:after="100" w:line="280" w:lineRule="exact"/>
        <w:ind w:left="2302" w:firstLine="567"/>
        <w:rPr>
          <w:rFonts w:eastAsia="Times New Roman"/>
          <w:i/>
          <w:snapToGrid w:val="0"/>
          <w:color w:val="000000"/>
          <w:sz w:val="24"/>
          <w:szCs w:val="20"/>
          <w:lang w:eastAsia="pt-BR"/>
        </w:rPr>
      </w:pPr>
      <w:r w:rsidRPr="004171FE">
        <w:rPr>
          <w:rFonts w:eastAsia="Times New Roman"/>
          <w:i/>
          <w:snapToGrid w:val="0"/>
          <w:color w:val="000000"/>
          <w:sz w:val="24"/>
          <w:szCs w:val="20"/>
          <w:lang w:val="pt-PT" w:eastAsia="pt-BR"/>
        </w:rPr>
        <w:t>........................................................................(NR)”</w:t>
      </w:r>
    </w:p>
    <w:p w:rsidR="004171FE" w:rsidRPr="004171FE" w:rsidRDefault="004171FE" w:rsidP="004171FE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4171FE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II</w:t>
      </w:r>
      <w:r w:rsidRPr="004171F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– o art. 14 passa a vigorar acrescido do seguinte dispositivo:</w:t>
      </w:r>
    </w:p>
    <w:p w:rsidR="004171FE" w:rsidRPr="004171FE" w:rsidRDefault="004171FE" w:rsidP="004171FE">
      <w:pPr>
        <w:spacing w:after="100" w:line="280" w:lineRule="exact"/>
        <w:ind w:left="2302" w:firstLine="567"/>
        <w:rPr>
          <w:rFonts w:eastAsia="Times New Roman" w:cs="Times New Roman"/>
          <w:i/>
          <w:snapToGrid w:val="0"/>
          <w:color w:val="000000"/>
          <w:sz w:val="24"/>
          <w:szCs w:val="20"/>
          <w:lang w:eastAsia="pt-BR"/>
        </w:rPr>
      </w:pPr>
      <w:r w:rsidRPr="004171FE">
        <w:rPr>
          <w:rFonts w:eastAsia="Times New Roman" w:cs="Times New Roman"/>
          <w:i/>
          <w:snapToGrid w:val="0"/>
          <w:color w:val="000000"/>
          <w:sz w:val="24"/>
          <w:szCs w:val="20"/>
          <w:lang w:eastAsia="pt-BR"/>
        </w:rPr>
        <w:t>“Art. 14......................................................................</w:t>
      </w:r>
    </w:p>
    <w:p w:rsidR="004171FE" w:rsidRPr="004171FE" w:rsidRDefault="004171FE" w:rsidP="004171FE">
      <w:pPr>
        <w:spacing w:after="100" w:line="280" w:lineRule="exact"/>
        <w:ind w:left="2302" w:firstLine="567"/>
        <w:rPr>
          <w:rFonts w:eastAsia="Times New Roman" w:cs="Times New Roman"/>
          <w:i/>
          <w:snapToGrid w:val="0"/>
          <w:color w:val="000000"/>
          <w:sz w:val="24"/>
          <w:szCs w:val="20"/>
          <w:lang w:eastAsia="pt-BR"/>
        </w:rPr>
      </w:pPr>
      <w:r w:rsidRPr="004171FE">
        <w:rPr>
          <w:rFonts w:eastAsia="Times New Roman" w:cs="Times New Roman"/>
          <w:i/>
          <w:snapToGrid w:val="0"/>
          <w:color w:val="000000"/>
          <w:sz w:val="24"/>
          <w:szCs w:val="20"/>
          <w:lang w:eastAsia="pt-BR"/>
        </w:rPr>
        <w:t>...................................................................................</w:t>
      </w:r>
    </w:p>
    <w:p w:rsidR="004171FE" w:rsidRPr="004171FE" w:rsidRDefault="004171FE" w:rsidP="004171FE">
      <w:pPr>
        <w:spacing w:after="100" w:line="280" w:lineRule="exact"/>
        <w:ind w:left="2302" w:firstLine="567"/>
        <w:rPr>
          <w:rFonts w:eastAsia="Times New Roman" w:cs="Times New Roman"/>
          <w:i/>
          <w:snapToGrid w:val="0"/>
          <w:color w:val="000000"/>
          <w:sz w:val="24"/>
          <w:szCs w:val="20"/>
          <w:lang w:eastAsia="pt-BR"/>
        </w:rPr>
      </w:pPr>
      <w:r w:rsidRPr="004171FE">
        <w:rPr>
          <w:rFonts w:eastAsia="Times New Roman" w:cs="Times New Roman"/>
          <w:i/>
          <w:snapToGrid w:val="0"/>
          <w:color w:val="000000"/>
          <w:sz w:val="24"/>
          <w:szCs w:val="20"/>
          <w:lang w:eastAsia="pt-BR"/>
        </w:rPr>
        <w:t xml:space="preserve">Parágrafo único. Os atos a que se refere o caput deste artigo não poderão ser praticados se, nos termos contratuais, não estiver previsto o modo pelo qual o porto organizado ou o terminal de uso privado será integrado ao sistema nacional de vias terrestres, rodovias e ferrovias, segundo as políticas e </w:t>
      </w:r>
      <w:r w:rsidRPr="004171FE">
        <w:rPr>
          <w:rFonts w:eastAsia="Times New Roman" w:cs="Times New Roman"/>
          <w:i/>
          <w:snapToGrid w:val="0"/>
          <w:color w:val="000000"/>
          <w:sz w:val="24"/>
          <w:szCs w:val="20"/>
          <w:lang w:eastAsia="pt-BR"/>
        </w:rPr>
        <w:lastRenderedPageBreak/>
        <w:t>diretrizes de logística</w:t>
      </w:r>
      <w:r w:rsidRPr="004171FE">
        <w:rPr>
          <w:rFonts w:eastAsia="Times New Roman"/>
          <w:i/>
          <w:snapToGrid w:val="0"/>
          <w:color w:val="000000"/>
          <w:sz w:val="24"/>
          <w:szCs w:val="20"/>
          <w:lang w:val="pt-PT" w:eastAsia="pt-BR"/>
        </w:rPr>
        <w:t xml:space="preserve"> integrada e de preservação do meio ambiente. (NR)”</w:t>
      </w:r>
    </w:p>
    <w:p w:rsidR="004171FE" w:rsidRPr="004171FE" w:rsidRDefault="004171FE" w:rsidP="004171FE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4171FE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III</w:t>
      </w:r>
      <w:r w:rsidRPr="004171F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– o inciso I e o § 2º do art. 16 passam a vigorar com as seguintes redações:</w:t>
      </w:r>
    </w:p>
    <w:p w:rsidR="004171FE" w:rsidRPr="004171FE" w:rsidRDefault="004171FE" w:rsidP="004171FE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4171F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“Art. 16.................................................................................</w:t>
      </w:r>
    </w:p>
    <w:p w:rsidR="004171FE" w:rsidRPr="004171FE" w:rsidRDefault="004171FE" w:rsidP="004171FE">
      <w:pPr>
        <w:spacing w:after="100" w:line="280" w:lineRule="exact"/>
        <w:ind w:left="2302" w:firstLine="567"/>
        <w:rPr>
          <w:rFonts w:eastAsia="Times New Roman" w:cs="Times New Roman"/>
          <w:i/>
          <w:snapToGrid w:val="0"/>
          <w:color w:val="000000"/>
          <w:sz w:val="24"/>
          <w:szCs w:val="20"/>
          <w:lang w:val="pt-PT" w:eastAsia="pt-BR"/>
        </w:rPr>
      </w:pPr>
      <w:r w:rsidRPr="004171FE">
        <w:rPr>
          <w:rFonts w:eastAsia="Times New Roman" w:cs="Times New Roman"/>
          <w:i/>
          <w:snapToGrid w:val="0"/>
          <w:color w:val="000000"/>
          <w:sz w:val="24"/>
          <w:szCs w:val="20"/>
          <w:lang w:val="pt-PT" w:eastAsia="pt-BR"/>
        </w:rPr>
        <w:t xml:space="preserve">I - elaborar o planejamento setorial em conformidade com as políticas e diretrizes de logística integrada e de preservação do meio ambiente; </w:t>
      </w:r>
    </w:p>
    <w:p w:rsidR="004171FE" w:rsidRPr="004171FE" w:rsidRDefault="004171FE" w:rsidP="004171FE">
      <w:pPr>
        <w:spacing w:after="100" w:line="280" w:lineRule="exact"/>
        <w:ind w:left="2302" w:firstLine="567"/>
        <w:rPr>
          <w:rFonts w:eastAsia="Times New Roman" w:cs="Times New Roman"/>
          <w:i/>
          <w:snapToGrid w:val="0"/>
          <w:color w:val="000000"/>
          <w:sz w:val="24"/>
          <w:szCs w:val="20"/>
          <w:lang w:eastAsia="pt-BR"/>
        </w:rPr>
      </w:pPr>
      <w:r w:rsidRPr="004171FE">
        <w:rPr>
          <w:rFonts w:eastAsia="Times New Roman" w:cs="Times New Roman"/>
          <w:i/>
          <w:snapToGrid w:val="0"/>
          <w:color w:val="000000"/>
          <w:sz w:val="24"/>
          <w:szCs w:val="20"/>
          <w:lang w:val="pt-PT" w:eastAsia="pt-BR"/>
        </w:rPr>
        <w:t>................................................................................</w:t>
      </w:r>
    </w:p>
    <w:p w:rsidR="004171FE" w:rsidRPr="004171FE" w:rsidRDefault="004171FE" w:rsidP="004171FE">
      <w:pPr>
        <w:spacing w:after="100" w:line="280" w:lineRule="exact"/>
        <w:ind w:left="2302" w:firstLine="567"/>
        <w:rPr>
          <w:rFonts w:eastAsia="Times New Roman" w:cs="Times New Roman"/>
          <w:i/>
          <w:snapToGrid w:val="0"/>
          <w:color w:val="000000"/>
          <w:sz w:val="24"/>
          <w:szCs w:val="20"/>
          <w:lang w:val="pt-PT" w:eastAsia="pt-BR"/>
        </w:rPr>
      </w:pPr>
      <w:r w:rsidRPr="004171FE">
        <w:rPr>
          <w:rFonts w:eastAsia="Times New Roman" w:cs="Times New Roman"/>
          <w:i/>
          <w:snapToGrid w:val="0"/>
          <w:color w:val="000000"/>
          <w:sz w:val="24"/>
          <w:szCs w:val="20"/>
          <w:lang w:val="pt-PT" w:eastAsia="pt-BR"/>
        </w:rPr>
        <w:t>§ 2</w:t>
      </w:r>
      <w:r w:rsidRPr="004171FE">
        <w:rPr>
          <w:rFonts w:eastAsia="Times New Roman" w:cs="Times New Roman"/>
          <w:i/>
          <w:snapToGrid w:val="0"/>
          <w:color w:val="000000"/>
          <w:sz w:val="24"/>
          <w:szCs w:val="20"/>
          <w:u w:val="single"/>
          <w:vertAlign w:val="superscript"/>
          <w:lang w:val="pt-PT" w:eastAsia="pt-BR"/>
        </w:rPr>
        <w:t>o</w:t>
      </w:r>
      <w:r w:rsidRPr="004171FE">
        <w:rPr>
          <w:rFonts w:eastAsia="Times New Roman"/>
          <w:i/>
          <w:snapToGrid w:val="0"/>
          <w:color w:val="000000"/>
          <w:sz w:val="24"/>
          <w:szCs w:val="20"/>
          <w:lang w:val="pt-PT" w:eastAsia="pt-BR"/>
        </w:rPr>
        <w:t> </w:t>
      </w:r>
      <w:r w:rsidRPr="004171FE">
        <w:rPr>
          <w:rFonts w:eastAsia="Times New Roman" w:cs="Times New Roman"/>
          <w:i/>
          <w:snapToGrid w:val="0"/>
          <w:color w:val="000000"/>
          <w:sz w:val="24"/>
          <w:szCs w:val="20"/>
          <w:lang w:val="pt-PT" w:eastAsia="pt-BR"/>
        </w:rPr>
        <w:t> No exercício da competência prevista no inciso II do</w:t>
      </w:r>
      <w:r w:rsidRPr="004171FE">
        <w:rPr>
          <w:rFonts w:eastAsia="Times New Roman"/>
          <w:i/>
          <w:snapToGrid w:val="0"/>
          <w:color w:val="000000"/>
          <w:sz w:val="24"/>
          <w:szCs w:val="20"/>
          <w:lang w:val="pt-PT" w:eastAsia="pt-BR"/>
        </w:rPr>
        <w:t> </w:t>
      </w:r>
      <w:r w:rsidRPr="004171FE">
        <w:rPr>
          <w:rFonts w:eastAsia="Times New Roman" w:cs="Times New Roman"/>
          <w:i/>
          <w:snapToGrid w:val="0"/>
          <w:color w:val="000000"/>
          <w:sz w:val="24"/>
          <w:szCs w:val="20"/>
          <w:lang w:val="pt-PT" w:eastAsia="pt-BR"/>
        </w:rPr>
        <w:t>caput, o poder concedente deverá ouvir previamente a Agência Nacional do Petróleo, Gás Natural e Biocombustíveis e a Agência Nacional de Transportes Terrestres sempre que a licitação, a chamada pública ou o processo seletivo envolver, respectivamente, instalações portuárias voltadas à movimentação de petróleo, gás natural, seus derivados e biocombustíveis e instalações ferroviárias. (NR)”</w:t>
      </w:r>
    </w:p>
    <w:p w:rsidR="004171FE" w:rsidRPr="004171FE" w:rsidRDefault="004171FE" w:rsidP="004171FE">
      <w:pPr>
        <w:spacing w:after="200" w:line="360" w:lineRule="exact"/>
        <w:ind w:firstLine="2302"/>
        <w:rPr>
          <w:rFonts w:eastAsia="Times New Roman"/>
          <w:color w:val="000000"/>
          <w:sz w:val="24"/>
          <w:szCs w:val="24"/>
          <w:lang w:val="pt-PT" w:eastAsia="pt-BR"/>
        </w:rPr>
      </w:pPr>
      <w:r w:rsidRPr="004171FE">
        <w:rPr>
          <w:rFonts w:eastAsia="Times New Roman"/>
          <w:b/>
          <w:color w:val="000000"/>
          <w:sz w:val="24"/>
          <w:szCs w:val="24"/>
          <w:lang w:val="pt-PT" w:eastAsia="pt-BR"/>
        </w:rPr>
        <w:t xml:space="preserve">  IV</w:t>
      </w:r>
      <w:r w:rsidRPr="004171FE">
        <w:rPr>
          <w:rFonts w:eastAsia="Times New Roman"/>
          <w:color w:val="000000"/>
          <w:sz w:val="24"/>
          <w:szCs w:val="24"/>
          <w:lang w:val="pt-PT" w:eastAsia="pt-BR"/>
        </w:rPr>
        <w:t xml:space="preserve"> – o art. 17 passa a vigorar acrescido do seguinte dispositivo:</w:t>
      </w:r>
    </w:p>
    <w:p w:rsidR="004171FE" w:rsidRPr="004171FE" w:rsidRDefault="004171FE" w:rsidP="004171FE">
      <w:pPr>
        <w:spacing w:after="100" w:line="280" w:lineRule="exact"/>
        <w:ind w:left="2302" w:firstLine="567"/>
        <w:rPr>
          <w:rFonts w:eastAsia="Times New Roman" w:cs="Times New Roman"/>
          <w:i/>
          <w:snapToGrid w:val="0"/>
          <w:color w:val="000000"/>
          <w:sz w:val="24"/>
          <w:szCs w:val="20"/>
          <w:lang w:val="pt-PT" w:eastAsia="pt-BR"/>
        </w:rPr>
      </w:pPr>
      <w:r w:rsidRPr="004171FE">
        <w:rPr>
          <w:rFonts w:eastAsia="Times New Roman" w:cs="Times New Roman"/>
          <w:i/>
          <w:snapToGrid w:val="0"/>
          <w:color w:val="000000"/>
          <w:sz w:val="24"/>
          <w:szCs w:val="20"/>
          <w:lang w:val="pt-PT" w:eastAsia="pt-BR"/>
        </w:rPr>
        <w:t>“Art. 17.....................................................................</w:t>
      </w:r>
    </w:p>
    <w:p w:rsidR="004171FE" w:rsidRPr="004171FE" w:rsidRDefault="004171FE" w:rsidP="004171FE">
      <w:pPr>
        <w:spacing w:after="100" w:line="280" w:lineRule="exact"/>
        <w:ind w:left="2302" w:firstLine="567"/>
        <w:rPr>
          <w:rFonts w:eastAsia="Times New Roman" w:cs="Times New Roman"/>
          <w:i/>
          <w:snapToGrid w:val="0"/>
          <w:color w:val="000000"/>
          <w:sz w:val="24"/>
          <w:szCs w:val="20"/>
          <w:lang w:val="pt-PT" w:eastAsia="pt-BR"/>
        </w:rPr>
      </w:pPr>
      <w:r w:rsidRPr="004171FE">
        <w:rPr>
          <w:rFonts w:eastAsia="Times New Roman" w:cs="Times New Roman"/>
          <w:i/>
          <w:snapToGrid w:val="0"/>
          <w:color w:val="000000"/>
          <w:sz w:val="24"/>
          <w:szCs w:val="20"/>
          <w:lang w:val="pt-PT" w:eastAsia="pt-BR"/>
        </w:rPr>
        <w:t>.................................................................................</w:t>
      </w:r>
    </w:p>
    <w:p w:rsidR="004171FE" w:rsidRPr="004171FE" w:rsidRDefault="004171FE" w:rsidP="004171FE">
      <w:pPr>
        <w:spacing w:after="100" w:line="280" w:lineRule="exact"/>
        <w:ind w:left="2302" w:firstLine="567"/>
        <w:rPr>
          <w:rFonts w:eastAsia="Times New Roman" w:cs="Times New Roman"/>
          <w:i/>
          <w:snapToGrid w:val="0"/>
          <w:color w:val="000000"/>
          <w:sz w:val="24"/>
          <w:szCs w:val="20"/>
          <w:lang w:val="pt-PT" w:eastAsia="pt-BR"/>
        </w:rPr>
      </w:pPr>
      <w:r w:rsidRPr="004171FE">
        <w:rPr>
          <w:rFonts w:eastAsia="Times New Roman" w:cs="Times New Roman"/>
          <w:i/>
          <w:snapToGrid w:val="0"/>
          <w:color w:val="000000"/>
          <w:sz w:val="24"/>
          <w:szCs w:val="20"/>
          <w:lang w:val="pt-PT" w:eastAsia="pt-BR"/>
        </w:rPr>
        <w:t xml:space="preserve">XVI – garantir isonomia no acesso de operadores portuários ao sistema de vias terrestres, rodovias e ferrovias, na área do porto. </w:t>
      </w:r>
    </w:p>
    <w:p w:rsidR="004171FE" w:rsidRPr="004171FE" w:rsidRDefault="004171FE" w:rsidP="004171FE">
      <w:pPr>
        <w:spacing w:after="100" w:line="280" w:lineRule="exact"/>
        <w:ind w:left="2302" w:firstLine="567"/>
        <w:rPr>
          <w:rFonts w:eastAsia="Times New Roman" w:cs="Times New Roman"/>
          <w:i/>
          <w:snapToGrid w:val="0"/>
          <w:color w:val="000000"/>
          <w:sz w:val="24"/>
          <w:szCs w:val="20"/>
          <w:lang w:eastAsia="pt-BR"/>
        </w:rPr>
      </w:pPr>
      <w:r w:rsidRPr="004171FE">
        <w:rPr>
          <w:rFonts w:eastAsia="Times New Roman" w:cs="Times New Roman"/>
          <w:i/>
          <w:snapToGrid w:val="0"/>
          <w:color w:val="000000"/>
          <w:sz w:val="24"/>
          <w:szCs w:val="20"/>
          <w:lang w:val="pt-PT" w:eastAsia="pt-BR"/>
        </w:rPr>
        <w:t>.........................................................................(NR)”</w:t>
      </w:r>
    </w:p>
    <w:p w:rsidR="004171FE" w:rsidRPr="004171FE" w:rsidRDefault="004171FE" w:rsidP="004171FE">
      <w:pPr>
        <w:spacing w:before="240"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4171FE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Art. 3º</w:t>
      </w:r>
      <w:r w:rsidRPr="004171F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Esta Lei entra em vigor após decorridos cento e oitenta dias de sua publicação oficial.</w:t>
      </w:r>
    </w:p>
    <w:p w:rsidR="004171FE" w:rsidRPr="004171FE" w:rsidRDefault="004171FE" w:rsidP="003257F8">
      <w:pPr>
        <w:spacing w:before="600" w:after="240" w:line="360" w:lineRule="exact"/>
        <w:jc w:val="center"/>
        <w:outlineLvl w:val="2"/>
        <w:rPr>
          <w:rFonts w:eastAsia="Times New Roman" w:cs="Times New Roman"/>
          <w:b/>
          <w:caps/>
          <w:snapToGrid w:val="0"/>
          <w:sz w:val="28"/>
          <w:szCs w:val="20"/>
          <w:lang w:eastAsia="pt-BR"/>
        </w:rPr>
      </w:pPr>
      <w:r w:rsidRPr="004171FE">
        <w:rPr>
          <w:rFonts w:eastAsia="Times New Roman" w:cs="Times New Roman"/>
          <w:b/>
          <w:caps/>
          <w:snapToGrid w:val="0"/>
          <w:sz w:val="28"/>
          <w:szCs w:val="20"/>
          <w:lang w:eastAsia="pt-BR"/>
        </w:rPr>
        <w:t>JUSTIFICAÇÃO</w:t>
      </w:r>
    </w:p>
    <w:p w:rsidR="004171FE" w:rsidRPr="004171FE" w:rsidRDefault="004171FE" w:rsidP="004171FE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4171F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Este projeto de lei tem o objetivo de dar efetividade ao princípio da integração física e operacional dos modos de transporte, no campo portuário, de acordo com os mais modernos princípios de logística. </w:t>
      </w:r>
    </w:p>
    <w:p w:rsidR="004171FE" w:rsidRPr="004171FE" w:rsidRDefault="004171FE" w:rsidP="004171FE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4171F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Em que pese a nova Lei dos Portos – Lei nº 12.815, de 2013 – ser bastante recente, não cuidou o legislador de incluir no texto legal dispositivos que garantissem, na operação portuária, a multimodalidade. Hoje, para a movimentação de carga com a hinterlândia, muitos portos e terminais portuários de </w:t>
      </w:r>
      <w:r w:rsidRPr="004171F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lastRenderedPageBreak/>
        <w:t xml:space="preserve">uso privado dependem exclusivamente de trechos rodoviários, o que depõe contra a economicidade das operações logísticas e a melhoria das condições ambientais. </w:t>
      </w:r>
    </w:p>
    <w:p w:rsidR="004171FE" w:rsidRPr="004171FE" w:rsidRDefault="004171FE" w:rsidP="004171FE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4171F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Acreditamos que o marco legal do setor portuário precisa receber o acréscimo de determinações que vinculem as ações - tanto do poder concedente como dos outorgados - ao paradigma da integração logística. Se o País não se movimentar na direção da multimodalidade e do respeito a metas ambientais, não poderá alcançar o papel de relevância econômica e social que o mundo dele espera.</w:t>
      </w:r>
    </w:p>
    <w:p w:rsidR="004171FE" w:rsidRPr="004171FE" w:rsidRDefault="004171FE" w:rsidP="004171FE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4171F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Gostaríamos de ressaltar que o aumento da participação do setor ferroviário na movimentação de carga entre os portos nacionais e as áreas produtoras ou consumidoras do País é essencial para que aquele papel se concretize. Daí a ênfase que se dá, no projeto de lei, à necessidade de conexão entre os portos e terminais de uso privado e as vias ferroviárias. Ainda que seja uma meta ambiciosa, é preciso persegui-la, inclusive com o auxílio da força da lei.</w:t>
      </w:r>
    </w:p>
    <w:p w:rsidR="004171FE" w:rsidRPr="004171FE" w:rsidRDefault="004171FE" w:rsidP="004171FE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4171F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Esperamos contar com as críticas e sugestões da Casa a fim de promover o aperfeiçoamento desta iniciativa, que visa a garantir no País a existência de uma logística sustentável.</w:t>
      </w:r>
    </w:p>
    <w:p w:rsidR="004171FE" w:rsidRPr="004171FE" w:rsidRDefault="004171FE" w:rsidP="004171FE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</w:p>
    <w:p w:rsidR="004171FE" w:rsidRPr="004171FE" w:rsidRDefault="004171FE" w:rsidP="003257F8">
      <w:pPr>
        <w:keepNext/>
        <w:widowControl w:val="0"/>
        <w:spacing w:before="240" w:after="48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4171F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Sala das Sessões, em  </w:t>
      </w:r>
      <w:r w:rsidR="003257F8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03</w:t>
      </w:r>
      <w:r w:rsidRPr="004171F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 de</w:t>
      </w:r>
      <w:r w:rsidR="003257F8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março </w:t>
      </w:r>
      <w:r w:rsidRPr="004171F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 2015.</w:t>
      </w:r>
    </w:p>
    <w:p w:rsidR="004171FE" w:rsidRPr="004171FE" w:rsidRDefault="004171FE" w:rsidP="004171FE">
      <w:pPr>
        <w:widowControl w:val="0"/>
        <w:spacing w:line="360" w:lineRule="exact"/>
        <w:ind w:left="1701"/>
        <w:jc w:val="center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4171F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Deputado </w:t>
      </w:r>
      <w:r w:rsidRPr="004171FE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CARLOS BEZERRA</w:t>
      </w:r>
      <w:r w:rsidRPr="004171FE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</w:t>
      </w:r>
    </w:p>
    <w:p w:rsidR="004171FE" w:rsidRPr="004171FE" w:rsidRDefault="004171FE" w:rsidP="004171FE">
      <w:pPr>
        <w:widowControl w:val="0"/>
        <w:spacing w:before="360" w:line="240" w:lineRule="exact"/>
        <w:jc w:val="left"/>
        <w:rPr>
          <w:rFonts w:eastAsia="Times New Roman" w:cs="Times New Roman"/>
          <w:snapToGrid w:val="0"/>
          <w:color w:val="000000"/>
          <w:sz w:val="16"/>
          <w:szCs w:val="20"/>
          <w:lang w:eastAsia="pt-BR"/>
        </w:rPr>
      </w:pPr>
    </w:p>
    <w:p w:rsidR="004171FE" w:rsidRDefault="004171FE" w:rsidP="004171FE">
      <w:pPr>
        <w:rPr>
          <w:sz w:val="24"/>
        </w:rPr>
      </w:pPr>
    </w:p>
    <w:p w:rsidR="004171FE" w:rsidRDefault="004171FE" w:rsidP="00417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55535_LEGISLACAO"/>
      <w:bookmarkEnd w:id="10"/>
      <w:r>
        <w:rPr>
          <w:b/>
          <w:sz w:val="24"/>
        </w:rPr>
        <w:t>LEGISLAÇÃO CITADA ANEXADA PELA</w:t>
      </w:r>
    </w:p>
    <w:p w:rsidR="004171FE" w:rsidRDefault="004171FE" w:rsidP="00417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4171FE" w:rsidRDefault="004171FE" w:rsidP="004171FE">
      <w:pPr>
        <w:jc w:val="center"/>
        <w:rPr>
          <w:b/>
          <w:sz w:val="24"/>
        </w:rPr>
      </w:pPr>
    </w:p>
    <w:p w:rsidR="004171FE" w:rsidRPr="004171FE" w:rsidRDefault="004171FE" w:rsidP="004171F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4171FE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LEI Nº 12.815, DE 5 DE JUNHO DE 2013</w:t>
      </w:r>
    </w:p>
    <w:p w:rsidR="004171FE" w:rsidRPr="004171FE" w:rsidRDefault="004171FE" w:rsidP="004171FE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171FE" w:rsidRPr="004171FE" w:rsidRDefault="004171FE" w:rsidP="004171FE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171FE" w:rsidRPr="004171FE" w:rsidRDefault="004171FE" w:rsidP="004171FE">
      <w:pPr>
        <w:ind w:left="453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Dispõe sobre a exploração direta e indireta pela União de portos e instalações portuárias e sobre as atividades desempenhadas pelos operadores portuários; altera as Leis nºs 5.025, de 10 de junho de 1966, 10.233, de 5 de junho de 2001, 10.683, de 28 de maio de 2003, 9.719, de 27 de novembro de 1998, e 8.213, de 24 de julho de 1991; revoga as Leis nºs 8.630, de 25 de fevereiro de 1993, e 11.610, de 12 de </w:t>
      </w: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dezembro de 2007, e dispositivos das Leis nºs 11.314, de 3 de julho de 2006, e 11.518, de 5 de setembro de 2007; e dá outras providências. </w:t>
      </w:r>
    </w:p>
    <w:p w:rsidR="004171FE" w:rsidRPr="004171FE" w:rsidRDefault="004171FE" w:rsidP="004171FE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171FE" w:rsidRPr="004171FE" w:rsidRDefault="004171FE" w:rsidP="004171FE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PRESIDENTA DA REPÚBLICA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Faço saber que o Congresso Nacional decreta e eu sanciono a seguinte Lei: </w:t>
      </w:r>
    </w:p>
    <w:p w:rsidR="004171FE" w:rsidRPr="004171FE" w:rsidRDefault="004171FE" w:rsidP="004171FE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4171FE" w:rsidRPr="004171FE" w:rsidRDefault="004171FE" w:rsidP="004171FE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171FE" w:rsidRPr="004171FE" w:rsidRDefault="004171FE" w:rsidP="004171FE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>CAPÍTULO II</w:t>
      </w:r>
    </w:p>
    <w:p w:rsidR="004171FE" w:rsidRPr="004171FE" w:rsidRDefault="004171FE" w:rsidP="004171FE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>DA EXPLORAÇÃO DOS PORTOS E INSTALAÇÕES</w:t>
      </w:r>
    </w:p>
    <w:p w:rsidR="004171FE" w:rsidRPr="004171FE" w:rsidRDefault="004171FE" w:rsidP="004171FE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>PORTUÁRIAS</w:t>
      </w:r>
    </w:p>
    <w:p w:rsidR="004171FE" w:rsidRPr="004171FE" w:rsidRDefault="004171FE" w:rsidP="004171FE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171FE" w:rsidRPr="004171FE" w:rsidRDefault="004171FE" w:rsidP="004171F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Seção I</w:t>
      </w:r>
    </w:p>
    <w:p w:rsidR="004171FE" w:rsidRPr="004171FE" w:rsidRDefault="004171FE" w:rsidP="004171F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 Concessão de Porto Organizado e do Arrendamento de</w:t>
      </w:r>
    </w:p>
    <w:p w:rsidR="004171FE" w:rsidRPr="004171FE" w:rsidRDefault="004171FE" w:rsidP="004171F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Instalação Portuária</w:t>
      </w:r>
    </w:p>
    <w:p w:rsidR="004171FE" w:rsidRPr="004171FE" w:rsidRDefault="004171FE" w:rsidP="004171FE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4º A concessão e o arrendamento de bem público destinado à atividade portuária serão realizados mediante a celebração de contrato, sempre precedida de licitação, em conformidade com o disposto nesta Lei e no seu regulamento.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5º São essenciais aos contratos de concessão e arrendamento as cláusulas relativas: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- ao objeto, à área e ao prazo;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- ao modo, forma e condições da exploração do porto organizado ou instalação portuária;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III - aos critérios, indicadores, fórmulas e parâmetros definidores da qualidade da atividade prestada, assim como às metas e prazos para o alcance de determinados níveis de serviço;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- ao valor do contrato, às tarifas praticadas e aos critérios e procedimentos de revisão e reajuste;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- aos investimentos de responsabilidade do contratado;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>VI - aos direitos e deveres dos usuários, com as obrigações correlatas do contratado e as sanções respectivas;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VII - às responsabilidades das partes;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VIII - à reversão de bens;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IX - aos direitos, garantias e obrigações do contratante e do contratado, inclusive os relacionados a necessidades futuras de suplementação, alteração e expansão da atividade e consequente modernização, aperfeiçoamento e ampliação das instalações;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 - à forma de fiscalização das instalações, dos equipamentos e dos métodos e práticas de execução das atividades, bem como à indicação dos órgãos ou entidades competentes para exercê-las;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XI - às garantias para adequada execução do contrato;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XII - à responsabilidade do titular da instalação portuária pela inexecução ou deficiente execução das atividades;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XIII - às hipóteses de extinção do contrato;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XIV - à obrigatoriedade da prestação de informações de interesse do poder concedente, da Agência Nacional de Transportes Aquaviários - ANTAQ e das demais </w:t>
      </w: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autoridades que atuam no setor portuário, inclusive as de interesse específico da Defesa Nacional, para efeitos de mobilização;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XV - à adoção e ao cumprimento das medidas de fiscalização aduaneira de mercadorias, veículos e pessoas;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XVI - ao acesso ao porto organizado ou à instalação portuária pelo poder concedente, pela Antaq e pelas demais autoridades que atuam no setor portuário;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XVII - às penalidades e sua forma de aplicação; e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XVIII - ao foro.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1º ( VETADO).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2º Findo o prazo dos contratos, os bens vinculados à concessão ou ao arrendamento reverterão ao patrimônio da União, na forma prevista no contrato.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6º Nas licitações dos contratos de concessão e arrendamento, serão considerados como critérios para julgamento, de forma isolada ou combinada, a maior capacidade de movimentação, a menor tarifa ou o menor tempo de movimentação de carga, e outros estabelecidos no edital, na forma do regulamento.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1º As licitações de que trata este artigo poderão ser realizadas na modalidade leilão, conforme regulamento.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2º Compete à Antaq, com base nas diretrizes do poder concedente, realizar os procedimentos licitatórios de que trata este artigo.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3º Os editais das licitações de que trata este artigo serão elaborados pela Antaq, observadas as diretrizes do poder concedente.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4º ( VETADO).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5º Sem prejuízo das diretrizes previstas no art. 3º, o poder concedente poderá determinar a transferência das competências de elaboração do edital e a realização dos procedimentos licitatórios de que trata este artigo à Administração do Porto, delegado ou não.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>§ 6º O poder concedente poderá autorizar, mediante requerimento do arrendatário, na forma do regulamento, expansão da área arrendada para área contígua dentro da poligonal do porto organizado, sempre que a medida trouxer comprovadamente eficiência na operação portuária.</w:t>
      </w:r>
    </w:p>
    <w:p w:rsidR="004171FE" w:rsidRPr="004171FE" w:rsidRDefault="004171FE" w:rsidP="004171FE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4171FE" w:rsidRPr="004171FE" w:rsidRDefault="004171FE" w:rsidP="004171FE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171FE" w:rsidRPr="004171FE" w:rsidRDefault="004171FE" w:rsidP="004171F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Seção III</w:t>
      </w:r>
    </w:p>
    <w:p w:rsidR="004171FE" w:rsidRPr="004171FE" w:rsidRDefault="004171FE" w:rsidP="004171F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Dos Requisitos para a Instalação dos Portos e Instalações Portuárias</w:t>
      </w:r>
    </w:p>
    <w:p w:rsidR="004171FE" w:rsidRPr="004171FE" w:rsidRDefault="004171FE" w:rsidP="004171FE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14. A celebração do contrato de concessão ou arrendamento e a expedição de autorização serão precedidas de: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- consulta à autoridade aduaneira;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- consulta ao respectivo poder público municipal; e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III - emissão, pelo órgão licenciador, do termo de referência para os estudos ambientais com vistas ao licenciamento. </w:t>
      </w:r>
    </w:p>
    <w:p w:rsidR="004171FE" w:rsidRPr="004171FE" w:rsidRDefault="004171FE" w:rsidP="004171FE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171FE" w:rsidRPr="004171FE" w:rsidRDefault="004171FE" w:rsidP="004171F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Seção IV</w:t>
      </w:r>
    </w:p>
    <w:p w:rsidR="004171FE" w:rsidRPr="004171FE" w:rsidRDefault="004171FE" w:rsidP="004171F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 Definição da Área de Porto Organizado</w:t>
      </w:r>
    </w:p>
    <w:p w:rsidR="004171FE" w:rsidRPr="004171FE" w:rsidRDefault="004171FE" w:rsidP="004171FE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15. Ato do Presidente da República disporá sobre a definição da área dos portos organizados, a partir de proposta da Secretaria de Portos da Presidência da República.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Parágrafo único. A delimitação da área deverá considerar a adequação dos acessos marítimos e terrestres, os ganhos de eficiência e competitividade decorrente da escala das operações e as instalações portuárias já existentes. </w:t>
      </w:r>
    </w:p>
    <w:p w:rsidR="004171FE" w:rsidRPr="004171FE" w:rsidRDefault="004171FE" w:rsidP="004171FE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171FE" w:rsidRPr="004171FE" w:rsidRDefault="004171FE" w:rsidP="004171FE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171FE" w:rsidRPr="004171FE" w:rsidRDefault="004171FE" w:rsidP="004171FE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>CAPÍTULO III</w:t>
      </w:r>
    </w:p>
    <w:p w:rsidR="004171FE" w:rsidRPr="004171FE" w:rsidRDefault="004171FE" w:rsidP="004171FE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>DO PODER CONCEDENTE</w:t>
      </w:r>
    </w:p>
    <w:p w:rsidR="004171FE" w:rsidRPr="004171FE" w:rsidRDefault="004171FE" w:rsidP="004171FE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16. Ao poder concedente compete: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- elaborar o planejamento setorial em conformidade com as políticas e diretrizes de logística integrada;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- definir as diretrizes para a realização dos procedimentos licitatórios, das chamadas públicas e dos processos seletivos de que trata esta Lei, inclusive para os respectivos editais e instrumentos convocatórios;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III - celebrar os contratos de concessão e arrendamento e expedir as autorizações de instalação portuária, devendo a Antaq fiscalizá-los em conformidade com o disposto na Lei nº 10.233, de 5 de junho de 2001; e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- estabelecer as normas, os critérios e os procedimentos para a pré-qualificação dos operadores portuários.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1º Para os fins do disposto nesta Lei, o poder concedente poderá celebrar convênios ou instrumentos congêneres de cooperação técnica e administrativa com órgãos e entidades da administração pública federal, dos Estados, do Distrito Federal e dos Municípios, inclusive com repasse de recursos.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2º No exercício da competência prevista no inciso II do caput, o poder concedente deverá ouvir previamente a Agência Nacional do Petróleo, Gás Natural e Biocombustíveis sempre que a licitação, a chamada pública ou o processo seletivo envolver instalações portuárias voltadas à movimentação de petróleo, gás natural, seus derivados e biocombustíveis. </w:t>
      </w:r>
    </w:p>
    <w:p w:rsidR="004171FE" w:rsidRPr="004171FE" w:rsidRDefault="004171FE" w:rsidP="004171FE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171FE" w:rsidRPr="004171FE" w:rsidRDefault="004171FE" w:rsidP="004171FE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>CAPÍTULO IV</w:t>
      </w:r>
    </w:p>
    <w:p w:rsidR="004171FE" w:rsidRPr="004171FE" w:rsidRDefault="004171FE" w:rsidP="004171FE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>DA ADMINISTRAÇÃO DO PORTO ORGANIZADO</w:t>
      </w:r>
    </w:p>
    <w:p w:rsidR="004171FE" w:rsidRPr="004171FE" w:rsidRDefault="004171FE" w:rsidP="004171FE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4171FE" w:rsidRPr="004171FE" w:rsidRDefault="004171FE" w:rsidP="004171F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Seção I</w:t>
      </w:r>
    </w:p>
    <w:p w:rsidR="004171FE" w:rsidRPr="004171FE" w:rsidRDefault="004171FE" w:rsidP="004171F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Das Competências</w:t>
      </w:r>
    </w:p>
    <w:p w:rsidR="004171FE" w:rsidRPr="004171FE" w:rsidRDefault="004171FE" w:rsidP="004171FE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17. A administração do porto é exercida diretamente pela União, pela delegatária ou pela entidade concessionária do porto organizado.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1º Compete à administração do porto organizado, denominada autoridade portuária: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- cumprir e fazer cumprir as leis, os regulamentos e os contratos de concessão;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- assegurar o gozo das vantagens decorrentes do melhoramento e aparelhamento do porto ao comércio e à navegação;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III - pré-qualificar os operadores portuários, de acordo com as normas estabelecidas pelo poder concedente;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- arrecadar os valores das tarifas relativas às suas atividades;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- fiscalizar ou executar as obras de construção, reforma, ampliação, melhoramento e conservação das instalações portuárias;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- fiscalizar a operação portuária, zelando pela realização das atividades com regularidade, eficiência, segurança e respeito ao meio ambiente;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VII - promover a remoção de embarcações ou cascos de embarcações que possam prejudicar o acesso ao porto;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VIII - autorizar a entrada e saída, inclusive atracação e desatracação, o fundeio e o tráfego de embarcação na área do porto, ouvidas as demais autoridades do porto;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IX - autorizar a movimentação de carga das embarcações, ressalvada a competência da autoridade marítima em situações de assistência e salvamento de embarcação, ouvidas as demais autoridades do porto;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 - suspender operações portuárias que prejudiquem o funcionamento do porto, ressalvados os aspectos de interesse da autoridade marítima responsável pela segurança do tráfego aquaviário;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XI - reportar infrações e representar perante a Antaq, visando à instauração de processo administrativo e aplicação das penalidades previstas em lei, em regulamento e nos contratos;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XII - adotar as medidas solicitadas pelas demais autoridades no porto;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XIII - prestar apoio técnico e administrativo ao conselho de autoridade portuária e ao órgão de gestão de mão de obra;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XIV - estabelecer o horário de funcionamento do porto, observadas as diretrizes da Secretaria de Portos da Presidência da República, e as jornadas de trabalho no cais de uso público; e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XV - organizar a guarda portuária, em conformidade com a regulamentação expedida pelo poder concedente.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2º A autoridade portuária elaborará e submeterá à aprovação da Secretaria de Portos da Presidência da República o respectivo Plano de Desenvolvimento e Zoneamento do Porto.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3º O disposto nos incisos IX e X do § 1º não se aplica à embarcação militar que não esteja praticando comércio.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4º A autoridade marítima responsável pela segurança do tráfego pode intervir para assegurar aos navios da Marinha do Brasil a prioridade para atracação no porto.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§ 5º ( VETADO).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18. Dentro dos limites da área do porto organizado, compete à administração do porto: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- sob coordenação da autoridade marítima: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a) estabelecer, manter e operar o balizamento do canal de acesso e da bacia de evolução do porto; 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b) delimitar as áreas de fundeadouro, de fundeio para carga e descarga, de inspeção sanitária e de polícia marítima; 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c) delimitar as áreas destinadas a navios de guerra e submarinos, plataformas e demais embarcações especiais, navios em reparo ou aguardando atracação e navios com cargas inflamáveis ou explosivas; 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d) estabelecer e divulgar o calado máximo de operação dos navios, em função dos levantamentos batimétricos efetuados sob sua responsabilidade; e 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e) estabelecer e divulgar o porte bruto máximo e as dimensões máximas dos navios que trafegarão, em função das limitações e características físicas do cais do porto; 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- sob coordenação da autoridade aduaneira: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a) delimitar a área de alfandegamento; e  </w:t>
      </w:r>
    </w:p>
    <w:p w:rsidR="004171FE" w:rsidRPr="004171FE" w:rsidRDefault="004171FE" w:rsidP="004171FE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b) organizar e sinalizar os fluxos de mercadorias, veículos, unidades de cargas e de pessoas.  </w:t>
      </w:r>
    </w:p>
    <w:p w:rsidR="004171FE" w:rsidRPr="004171FE" w:rsidRDefault="004171FE" w:rsidP="004171FE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171FE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171FE" w:rsidRDefault="004171FE" w:rsidP="004171FE">
      <w:pPr>
        <w:jc w:val="center"/>
        <w:rPr>
          <w:b/>
          <w:sz w:val="24"/>
        </w:rPr>
      </w:pPr>
      <w:bookmarkStart w:id="12" w:name="z955535_FIMDOCUMENTO"/>
      <w:bookmarkEnd w:id="1"/>
      <w:bookmarkEnd w:id="11"/>
    </w:p>
    <w:p w:rsidR="004171FE" w:rsidRPr="004171FE" w:rsidRDefault="004171FE" w:rsidP="004171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4171FE" w:rsidRPr="004171FE" w:rsidSect="004171F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0C0" w:rsidRDefault="00D050C0" w:rsidP="004171FE">
      <w:r>
        <w:separator/>
      </w:r>
    </w:p>
  </w:endnote>
  <w:endnote w:type="continuationSeparator" w:id="0">
    <w:p w:rsidR="00D050C0" w:rsidRDefault="00D050C0" w:rsidP="00417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FE" w:rsidRDefault="004171FE" w:rsidP="004171F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4171FE" w:rsidRDefault="004171FE" w:rsidP="004171F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171FE" w:rsidRPr="004171FE" w:rsidRDefault="004171FE" w:rsidP="004171FE">
    <w:pPr>
      <w:pStyle w:val="Rodap"/>
      <w:jc w:val="center"/>
    </w:pPr>
    <w:r>
      <w:t>PL 530/2015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FE" w:rsidRDefault="004171FE" w:rsidP="004171F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4171FE" w:rsidRDefault="004171FE" w:rsidP="004171F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171FE" w:rsidRPr="004171FE" w:rsidRDefault="004171FE" w:rsidP="004171FE">
    <w:pPr>
      <w:pStyle w:val="Rodap"/>
      <w:jc w:val="center"/>
    </w:pPr>
    <w:r>
      <w:t>PL 530/2015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FE" w:rsidRDefault="004171FE" w:rsidP="004171F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4171FE" w:rsidRPr="004171FE" w:rsidRDefault="004171FE" w:rsidP="004171F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0C0" w:rsidRDefault="00D050C0" w:rsidP="004171FE">
      <w:r>
        <w:separator/>
      </w:r>
    </w:p>
  </w:footnote>
  <w:footnote w:type="continuationSeparator" w:id="0">
    <w:p w:rsidR="00D050C0" w:rsidRDefault="00D050C0" w:rsidP="004171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FE" w:rsidRPr="004171FE" w:rsidRDefault="004171FE" w:rsidP="004171FE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9D3891">
      <w:rPr>
        <w:noProof/>
      </w:rPr>
      <w:t>8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1FE" w:rsidRPr="004171FE" w:rsidRDefault="004171FE" w:rsidP="004171FE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9D3891">
      <w:rPr>
        <w:noProof/>
      </w:rPr>
      <w:t>7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1FE"/>
    <w:rsid w:val="003257F8"/>
    <w:rsid w:val="004171FE"/>
    <w:rsid w:val="009D0B35"/>
    <w:rsid w:val="009D3891"/>
    <w:rsid w:val="00D050C0"/>
    <w:rsid w:val="00FA4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171F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71F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171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171F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171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171FE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171F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71F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171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171F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171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171F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691F4-3D6E-421A-91F2-79689445A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2517</Words>
  <Characters>14578</Characters>
  <Application>Microsoft Office Word</Application>
  <DocSecurity>0</DocSecurity>
  <Lines>331</Lines>
  <Paragraphs>167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16928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dcterms:created xsi:type="dcterms:W3CDTF">2015-03-11T19:15:00Z</dcterms:created>
  <dcterms:modified xsi:type="dcterms:W3CDTF">2015-03-11T20:29:00Z</dcterms:modified>
</cp:coreProperties>
</file>