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395" w:rsidRDefault="00F94B91" w:rsidP="00792C97">
      <w:pPr>
        <w:jc w:val="center"/>
      </w:pPr>
      <w:bookmarkStart w:id="0" w:name="z948980_BRASAO"/>
      <w:bookmarkStart w:id="1" w:name="z948980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4B91" w:rsidRPr="00F94B91" w:rsidRDefault="00F94B91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F94B91">
                              <w:rPr>
                                <w:rFonts w:ascii="3 of 9 Barcode" w:hAnsi="3 of 9 Barcode"/>
                                <w:sz w:val="34"/>
                              </w:rPr>
                              <w:t>*C0051519A*</w:t>
                            </w:r>
                            <w:bookmarkStart w:id="2" w:name="_GoBack"/>
                          </w:p>
                          <w:bookmarkEnd w:id="2"/>
                          <w:p w:rsidR="00F94B91" w:rsidRPr="00F94B91" w:rsidRDefault="00F94B9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C0051519A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F94B91" w:rsidRPr="00F94B91" w:rsidRDefault="00F94B91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F94B91">
                        <w:rPr>
                          <w:rFonts w:ascii="3 of 9 Barcode" w:hAnsi="3 of 9 Barcode"/>
                          <w:sz w:val="34"/>
                        </w:rPr>
                        <w:t>*C0051519A*</w:t>
                      </w:r>
                      <w:bookmarkStart w:id="3" w:name="_GoBack"/>
                    </w:p>
                    <w:bookmarkEnd w:id="3"/>
                    <w:p w:rsidR="00F94B91" w:rsidRPr="00F94B91" w:rsidRDefault="00F94B91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C0051519A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92C97">
        <w:rPr>
          <w:noProof/>
          <w:lang w:eastAsia="pt-BR"/>
        </w:rPr>
        <w:drawing>
          <wp:inline distT="0" distB="0" distL="0" distR="0" wp14:anchorId="762BEDDD" wp14:editId="0E5129B4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2C97" w:rsidRDefault="00792C97" w:rsidP="00792C9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792C97" w:rsidRDefault="00792C97" w:rsidP="00792C97">
      <w:pPr>
        <w:rPr>
          <w:sz w:val="24"/>
        </w:rPr>
      </w:pPr>
    </w:p>
    <w:p w:rsidR="00792C97" w:rsidRDefault="00792C97" w:rsidP="00792C97">
      <w:pPr>
        <w:keepNext/>
        <w:keepLines/>
        <w:jc w:val="center"/>
        <w:rPr>
          <w:b/>
          <w:sz w:val="44"/>
        </w:rPr>
      </w:pPr>
      <w:bookmarkStart w:id="4" w:name="z948980_TITULO"/>
      <w:r>
        <w:rPr>
          <w:b/>
          <w:sz w:val="44"/>
        </w:rPr>
        <w:t>PROJETO DE LEI N.º 451, DE 2015</w:t>
      </w:r>
      <w:bookmarkEnd w:id="4"/>
    </w:p>
    <w:p w:rsidR="00792C97" w:rsidRDefault="00792C97" w:rsidP="00792C97">
      <w:pPr>
        <w:keepLines/>
        <w:jc w:val="center"/>
        <w:rPr>
          <w:b/>
          <w:sz w:val="28"/>
        </w:rPr>
      </w:pPr>
      <w:bookmarkStart w:id="5" w:name="z948980_AUTOR"/>
      <w:r>
        <w:rPr>
          <w:b/>
          <w:sz w:val="28"/>
        </w:rPr>
        <w:t>(Do Sr. Rômulo Gouveia)</w:t>
      </w:r>
      <w:bookmarkEnd w:id="5"/>
    </w:p>
    <w:p w:rsidR="00792C97" w:rsidRDefault="00792C97" w:rsidP="00792C97">
      <w:pPr>
        <w:keepLines/>
        <w:jc w:val="center"/>
        <w:rPr>
          <w:b/>
          <w:sz w:val="28"/>
        </w:rPr>
      </w:pPr>
    </w:p>
    <w:p w:rsidR="00792C97" w:rsidRDefault="00792C97" w:rsidP="00792C97">
      <w:pPr>
        <w:rPr>
          <w:sz w:val="28"/>
        </w:rPr>
      </w:pPr>
      <w:bookmarkStart w:id="6" w:name="z948980_EMENTA"/>
      <w:r>
        <w:rPr>
          <w:sz w:val="28"/>
        </w:rPr>
        <w:t>Altera a Lei n.º 10.671, de 15 de maio de 2013, para coibir a prática de racismo em eventos esportivos profissionais.</w:t>
      </w:r>
      <w:bookmarkEnd w:id="6"/>
    </w:p>
    <w:p w:rsidR="00792C97" w:rsidRDefault="00792C97" w:rsidP="00792C97">
      <w:pPr>
        <w:rPr>
          <w:sz w:val="28"/>
        </w:rPr>
      </w:pPr>
    </w:p>
    <w:p w:rsidR="00792C97" w:rsidRDefault="00792C97" w:rsidP="00792C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48980_DESPACHO"/>
    </w:p>
    <w:p w:rsidR="00792C97" w:rsidRDefault="00792C97" w:rsidP="00792C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792C97" w:rsidRDefault="00792C97" w:rsidP="00792C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PL-7383/2014. </w:t>
      </w:r>
    </w:p>
    <w:p w:rsidR="00792C97" w:rsidRDefault="00792C97" w:rsidP="00792C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792C97" w:rsidRDefault="00792C97" w:rsidP="00792C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48980_APRECIACAO"/>
      <w:bookmarkEnd w:id="7"/>
      <w:r>
        <w:rPr>
          <w:b/>
          <w:sz w:val="28"/>
        </w:rPr>
        <w:t>APRECIAÇÃO:</w:t>
      </w:r>
    </w:p>
    <w:p w:rsidR="00792C97" w:rsidRDefault="00792C97" w:rsidP="00792C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do Plenário</w:t>
      </w:r>
    </w:p>
    <w:p w:rsidR="00792C97" w:rsidRDefault="00792C97" w:rsidP="00792C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792C97" w:rsidRDefault="00792C97" w:rsidP="00792C97">
      <w:pPr>
        <w:rPr>
          <w:sz w:val="28"/>
        </w:rPr>
      </w:pPr>
    </w:p>
    <w:p w:rsidR="00792C97" w:rsidRDefault="00792C97" w:rsidP="00792C97">
      <w:pPr>
        <w:jc w:val="center"/>
        <w:rPr>
          <w:b/>
          <w:sz w:val="28"/>
        </w:rPr>
      </w:pPr>
      <w:bookmarkStart w:id="9" w:name="z948980_PUBINICIAL"/>
      <w:r>
        <w:rPr>
          <w:b/>
          <w:sz w:val="28"/>
        </w:rPr>
        <w:t>PUBLICAÇÃO INICIAL</w:t>
      </w:r>
    </w:p>
    <w:p w:rsidR="00792C97" w:rsidRDefault="00792C97" w:rsidP="00792C97">
      <w:pPr>
        <w:jc w:val="center"/>
        <w:rPr>
          <w:b/>
        </w:rPr>
      </w:pPr>
      <w:r>
        <w:rPr>
          <w:b/>
        </w:rPr>
        <w:t>Art. 137, caput - RICD</w:t>
      </w:r>
    </w:p>
    <w:p w:rsidR="00792C97" w:rsidRDefault="00792C97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End w:id="9"/>
    <w:p w:rsidR="00792C97" w:rsidRDefault="00792C97" w:rsidP="00792C97">
      <w:pPr>
        <w:rPr>
          <w:b/>
        </w:rPr>
      </w:pPr>
    </w:p>
    <w:p w:rsidR="00792C97" w:rsidRPr="008F16E2" w:rsidRDefault="00792C97" w:rsidP="00792C97">
      <w:pPr>
        <w:spacing w:after="600" w:line="360" w:lineRule="exact"/>
        <w:ind w:firstLine="2268"/>
        <w:rPr>
          <w:rFonts w:ascii="Bookman Old Style" w:eastAsia="Times New Roman" w:hAnsi="Bookman Old Style" w:cs="Times New Roman"/>
          <w:b/>
          <w:snapToGrid w:val="0"/>
          <w:color w:val="000000"/>
          <w:sz w:val="24"/>
          <w:szCs w:val="28"/>
          <w:lang w:eastAsia="pt-BR"/>
        </w:rPr>
      </w:pPr>
      <w:bookmarkStart w:id="10" w:name="z948980_1303259_TEOR"/>
      <w:r w:rsidRPr="008F16E2">
        <w:rPr>
          <w:rFonts w:ascii="Bookman Old Style" w:eastAsia="Times New Roman" w:hAnsi="Bookman Old Style" w:cs="Times New Roman"/>
          <w:b/>
          <w:snapToGrid w:val="0"/>
          <w:color w:val="000000"/>
          <w:sz w:val="24"/>
          <w:szCs w:val="28"/>
          <w:lang w:eastAsia="pt-BR"/>
        </w:rPr>
        <w:t>O Congresso Nacional decreta:</w:t>
      </w:r>
    </w:p>
    <w:p w:rsidR="00792C97" w:rsidRPr="008F16E2" w:rsidRDefault="00792C97" w:rsidP="00792C97">
      <w:pPr>
        <w:jc w:val="left"/>
        <w:rPr>
          <w:rFonts w:ascii="Times New Roman" w:eastAsia="Times New Roman" w:hAnsi="Times New Roman" w:cs="Times New Roman"/>
          <w:sz w:val="18"/>
          <w:szCs w:val="20"/>
          <w:lang w:eastAsia="pt-BR"/>
        </w:rPr>
      </w:pPr>
    </w:p>
    <w:p w:rsidR="00792C97" w:rsidRPr="008F16E2" w:rsidRDefault="00792C97" w:rsidP="00792C97">
      <w:pPr>
        <w:spacing w:after="200" w:line="360" w:lineRule="exact"/>
        <w:ind w:firstLine="2302"/>
        <w:rPr>
          <w:rFonts w:ascii="Bookman Old Style" w:eastAsia="Times New Roman" w:hAnsi="Bookman Old Style" w:cs="Times New Roman"/>
          <w:snapToGrid w:val="0"/>
          <w:color w:val="000000"/>
          <w:sz w:val="24"/>
          <w:szCs w:val="28"/>
          <w:lang w:eastAsia="pt-BR"/>
        </w:rPr>
      </w:pPr>
      <w:r w:rsidRPr="008F16E2">
        <w:rPr>
          <w:rFonts w:ascii="Bookman Old Style" w:eastAsia="Times New Roman" w:hAnsi="Bookman Old Style" w:cs="Times New Roman"/>
          <w:snapToGrid w:val="0"/>
          <w:color w:val="000000"/>
          <w:sz w:val="24"/>
          <w:szCs w:val="28"/>
          <w:lang w:eastAsia="pt-BR"/>
        </w:rPr>
        <w:t>Art. 1º Esta Lei tem por objetivo alterar a Lei n.º 10.671, de 15 de maio de 2013, com vistas a incluir dispositivos que coíbam a prática de racismo em eventos esportivos profissionais.</w:t>
      </w:r>
    </w:p>
    <w:p w:rsidR="00792C97" w:rsidRPr="008F16E2" w:rsidRDefault="00792C97" w:rsidP="00792C97">
      <w:pPr>
        <w:spacing w:after="200" w:line="360" w:lineRule="exact"/>
        <w:ind w:firstLine="2302"/>
        <w:rPr>
          <w:rFonts w:ascii="Bookman Old Style" w:eastAsia="Times New Roman" w:hAnsi="Bookman Old Style" w:cs="Times New Roman"/>
          <w:snapToGrid w:val="0"/>
          <w:color w:val="000000"/>
          <w:sz w:val="24"/>
          <w:szCs w:val="28"/>
          <w:lang w:eastAsia="pt-BR"/>
        </w:rPr>
      </w:pPr>
      <w:r w:rsidRPr="008F16E2">
        <w:rPr>
          <w:rFonts w:ascii="Bookman Old Style" w:eastAsia="Times New Roman" w:hAnsi="Bookman Old Style" w:cs="Times New Roman"/>
          <w:snapToGrid w:val="0"/>
          <w:color w:val="000000"/>
          <w:sz w:val="24"/>
          <w:szCs w:val="28"/>
          <w:lang w:eastAsia="pt-BR"/>
        </w:rPr>
        <w:t xml:space="preserve">Art. 2º A Lei n.º 10.671, de 15 de maio de 2013, passa a vigorar acrescida do seguinte artigo: </w:t>
      </w:r>
    </w:p>
    <w:p w:rsidR="00792C97" w:rsidRPr="008F16E2" w:rsidRDefault="00792C97" w:rsidP="00792C97">
      <w:pPr>
        <w:spacing w:after="200" w:line="360" w:lineRule="exact"/>
        <w:ind w:left="2268"/>
        <w:rPr>
          <w:rFonts w:ascii="Bookman Old Style" w:eastAsia="Times New Roman" w:hAnsi="Bookman Old Style" w:cs="Times New Roman"/>
          <w:snapToGrid w:val="0"/>
          <w:color w:val="000000"/>
          <w:sz w:val="24"/>
          <w:szCs w:val="28"/>
          <w:lang w:eastAsia="pt-BR"/>
        </w:rPr>
      </w:pPr>
      <w:r w:rsidRPr="008F16E2">
        <w:rPr>
          <w:rFonts w:ascii="Bookman Old Style" w:eastAsia="Times New Roman" w:hAnsi="Bookman Old Style" w:cs="Times New Roman"/>
          <w:snapToGrid w:val="0"/>
          <w:color w:val="000000"/>
          <w:sz w:val="24"/>
          <w:szCs w:val="28"/>
          <w:lang w:eastAsia="pt-BR"/>
        </w:rPr>
        <w:t>“Art.13-B. A entidade de prática desportiva cuja torcida organizada cometer atos de racismo ou de injúria racial contra competidores, árbitros, fiscais, dirigentes, organizadores ou jornalistas jogará a partida oficial seguinte do campeonato profissional que estiver disputando com portas fechadas.”</w:t>
      </w:r>
    </w:p>
    <w:p w:rsidR="00792C97" w:rsidRPr="008F16E2" w:rsidRDefault="00792C97" w:rsidP="00792C97">
      <w:pPr>
        <w:spacing w:after="200" w:line="360" w:lineRule="exact"/>
        <w:ind w:firstLine="2268"/>
        <w:rPr>
          <w:rFonts w:ascii="Bookman Old Style" w:eastAsia="Times New Roman" w:hAnsi="Bookman Old Style" w:cs="Times New Roman"/>
          <w:snapToGrid w:val="0"/>
          <w:color w:val="000000"/>
          <w:sz w:val="24"/>
          <w:szCs w:val="28"/>
          <w:lang w:eastAsia="pt-BR"/>
        </w:rPr>
      </w:pPr>
      <w:r w:rsidRPr="008F16E2">
        <w:rPr>
          <w:rFonts w:ascii="Bookman Old Style" w:eastAsia="Times New Roman" w:hAnsi="Bookman Old Style" w:cs="Times New Roman"/>
          <w:snapToGrid w:val="0"/>
          <w:color w:val="000000"/>
          <w:sz w:val="24"/>
          <w:szCs w:val="28"/>
          <w:lang w:eastAsia="pt-BR"/>
        </w:rPr>
        <w:t xml:space="preserve">Art. 3º O art. 39-A da Lei n.º 10.671, de 15 de maio de 2013, passa a vigorar com a seguinte redação: </w:t>
      </w:r>
    </w:p>
    <w:p w:rsidR="00792C97" w:rsidRPr="008F16E2" w:rsidRDefault="00792C97" w:rsidP="00792C97">
      <w:pPr>
        <w:spacing w:after="200" w:line="360" w:lineRule="exact"/>
        <w:ind w:left="2268"/>
        <w:rPr>
          <w:rFonts w:ascii="Bookman Old Style" w:eastAsia="Times New Roman" w:hAnsi="Bookman Old Style" w:cs="Times New Roman"/>
          <w:snapToGrid w:val="0"/>
          <w:color w:val="000000"/>
          <w:sz w:val="24"/>
          <w:szCs w:val="28"/>
          <w:lang w:eastAsia="pt-BR"/>
        </w:rPr>
      </w:pPr>
      <w:r w:rsidRPr="008F16E2">
        <w:rPr>
          <w:rFonts w:ascii="Bookman Old Style" w:eastAsia="Times New Roman" w:hAnsi="Bookman Old Style" w:cs="Times New Roman"/>
          <w:snapToGrid w:val="0"/>
          <w:color w:val="000000"/>
          <w:sz w:val="24"/>
          <w:szCs w:val="28"/>
          <w:lang w:eastAsia="pt-BR"/>
        </w:rPr>
        <w:t>“Art. 39-A.  A torcida organizada que, em evento esportivo, promover tumulto; praticar ou incitar a violência; cometer atos de injúria racial contra competidores, árbitros, fiscais, dirigentes, organizadores ou jornalistas; ou invadir local restrito aos competidores, árbitros, fiscais, dirigentes, organizadores ou jornalistas será impedida, assim como seus associados ou membros, de comparecer a eventos esportivos pelo prazo de até 3 (três) anos. “</w:t>
      </w:r>
    </w:p>
    <w:p w:rsidR="00792C97" w:rsidRPr="008F16E2" w:rsidRDefault="00792C97" w:rsidP="00792C97">
      <w:pPr>
        <w:spacing w:after="200" w:line="360" w:lineRule="exact"/>
        <w:ind w:firstLine="2302"/>
        <w:rPr>
          <w:rFonts w:ascii="Bookman Old Style" w:eastAsia="Times New Roman" w:hAnsi="Bookman Old Style" w:cs="Times New Roman"/>
          <w:snapToGrid w:val="0"/>
          <w:color w:val="000000"/>
          <w:sz w:val="24"/>
          <w:szCs w:val="28"/>
          <w:lang w:eastAsia="pt-BR"/>
        </w:rPr>
      </w:pPr>
      <w:r w:rsidRPr="008F16E2">
        <w:rPr>
          <w:rFonts w:ascii="Bookman Old Style" w:eastAsia="Times New Roman" w:hAnsi="Bookman Old Style" w:cs="Times New Roman"/>
          <w:snapToGrid w:val="0"/>
          <w:color w:val="000000"/>
          <w:sz w:val="24"/>
          <w:szCs w:val="28"/>
          <w:lang w:eastAsia="pt-BR"/>
        </w:rPr>
        <w:t>Art. 3º Esta Lei entra em vigor na data de sua publicação.</w:t>
      </w:r>
    </w:p>
    <w:p w:rsidR="00792C97" w:rsidRPr="008F16E2" w:rsidRDefault="00792C97" w:rsidP="008F16E2">
      <w:pPr>
        <w:spacing w:before="200" w:after="200" w:line="360" w:lineRule="exact"/>
        <w:jc w:val="center"/>
        <w:rPr>
          <w:rFonts w:ascii="Bookman Old Style" w:eastAsia="Times New Roman" w:hAnsi="Bookman Old Style" w:cs="Times New Roman"/>
          <w:b/>
          <w:snapToGrid w:val="0"/>
          <w:color w:val="000000"/>
          <w:sz w:val="24"/>
          <w:szCs w:val="28"/>
          <w:lang w:eastAsia="pt-BR"/>
        </w:rPr>
      </w:pPr>
      <w:r w:rsidRPr="008F16E2">
        <w:rPr>
          <w:rFonts w:ascii="Bookman Old Style" w:eastAsia="Times New Roman" w:hAnsi="Bookman Old Style" w:cs="Times New Roman"/>
          <w:b/>
          <w:snapToGrid w:val="0"/>
          <w:color w:val="000000"/>
          <w:sz w:val="24"/>
          <w:szCs w:val="28"/>
          <w:lang w:eastAsia="pt-BR"/>
        </w:rPr>
        <w:t>JUSTIFICAÇÃO</w:t>
      </w:r>
    </w:p>
    <w:p w:rsidR="00792C97" w:rsidRPr="008F16E2" w:rsidRDefault="00792C97" w:rsidP="00792C97">
      <w:pPr>
        <w:spacing w:after="200" w:line="360" w:lineRule="exact"/>
        <w:ind w:firstLine="2302"/>
        <w:rPr>
          <w:rFonts w:ascii="Bookman Old Style" w:eastAsia="Times New Roman" w:hAnsi="Bookman Old Style" w:cs="Times New Roman"/>
          <w:snapToGrid w:val="0"/>
          <w:color w:val="000000"/>
          <w:sz w:val="24"/>
          <w:szCs w:val="28"/>
          <w:lang w:eastAsia="pt-BR"/>
        </w:rPr>
      </w:pPr>
      <w:r w:rsidRPr="008F16E2">
        <w:rPr>
          <w:rFonts w:ascii="Bookman Old Style" w:eastAsia="Times New Roman" w:hAnsi="Bookman Old Style" w:cs="Times New Roman"/>
          <w:snapToGrid w:val="0"/>
          <w:color w:val="000000"/>
          <w:sz w:val="24"/>
          <w:szCs w:val="28"/>
          <w:lang w:eastAsia="pt-BR"/>
        </w:rPr>
        <w:t>Este projeto de lei tem por objetivo incluir na Lei n.º 10.671, de 15 de maio de 2003, mais conhecida como o Estatuto do Torcedor, dispositivos com a finalidade de buscar coibir atos de racismo contra jogadores, árbitros e demais profissionais participantes de evento esportivo.</w:t>
      </w:r>
    </w:p>
    <w:p w:rsidR="00792C97" w:rsidRPr="008F16E2" w:rsidRDefault="00792C97" w:rsidP="00792C97">
      <w:pPr>
        <w:spacing w:after="200" w:line="360" w:lineRule="exact"/>
        <w:ind w:firstLine="2302"/>
        <w:rPr>
          <w:rFonts w:ascii="Bookman Old Style" w:eastAsia="Times New Roman" w:hAnsi="Bookman Old Style" w:cs="Times New Roman"/>
          <w:snapToGrid w:val="0"/>
          <w:color w:val="000000"/>
          <w:sz w:val="24"/>
          <w:szCs w:val="28"/>
          <w:lang w:eastAsia="pt-BR"/>
        </w:rPr>
      </w:pPr>
      <w:r w:rsidRPr="008F16E2">
        <w:rPr>
          <w:rFonts w:ascii="Bookman Old Style" w:eastAsia="Times New Roman" w:hAnsi="Bookman Old Style" w:cs="Times New Roman"/>
          <w:snapToGrid w:val="0"/>
          <w:color w:val="000000"/>
          <w:sz w:val="24"/>
          <w:szCs w:val="28"/>
          <w:lang w:eastAsia="pt-BR"/>
        </w:rPr>
        <w:lastRenderedPageBreak/>
        <w:t>Os casos de racismo no futebol não são recentes nem poucos. Há casos entre jogadores em campo, torcida e jogadores e árbitros, comentaristas esportivos e jogadores, entre outros. No último mês, casos ocorridos entre torcedores e jogadores famosos, em jogos importantes, receberam ampla repercussão com a ajuda das mídias sociais. E, no entanto, observamos não apenas a esperada indignação contra esses atos ofensivos, mas também a reincidência dessa prática aviltante em outras partidas e até campanha nas redes sociais em favor dos autores dos atos racistas.</w:t>
      </w:r>
    </w:p>
    <w:p w:rsidR="00792C97" w:rsidRPr="008F16E2" w:rsidRDefault="00792C97" w:rsidP="00792C97">
      <w:pPr>
        <w:spacing w:after="200" w:line="360" w:lineRule="exact"/>
        <w:ind w:firstLine="2302"/>
        <w:rPr>
          <w:rFonts w:ascii="Bookman Old Style" w:eastAsia="Times New Roman" w:hAnsi="Bookman Old Style" w:cs="Times New Roman"/>
          <w:snapToGrid w:val="0"/>
          <w:color w:val="000000"/>
          <w:sz w:val="24"/>
          <w:szCs w:val="28"/>
          <w:lang w:eastAsia="pt-BR"/>
        </w:rPr>
      </w:pPr>
      <w:r w:rsidRPr="008F16E2">
        <w:rPr>
          <w:rFonts w:ascii="Bookman Old Style" w:eastAsia="Times New Roman" w:hAnsi="Bookman Old Style" w:cs="Times New Roman"/>
          <w:snapToGrid w:val="0"/>
          <w:color w:val="000000"/>
          <w:sz w:val="24"/>
          <w:szCs w:val="28"/>
          <w:lang w:eastAsia="pt-BR"/>
        </w:rPr>
        <w:t xml:space="preserve">Apesar de já existir em nosso ordenamento jurídico legislação que criminaliza práticas racistas, entendemos que temos de avançar para contribuirmos no processo de combate a esse mal social. Por essa razão, apresento proposição legislativa com vistas a incluir no Estatuto do Torcedor dispositivo para determinar que a entidade de prática desportiva cuja torcida organizada cometer atos de racismo ou de injúria racial contra competidores, árbitros, fiscais, dirigentes, organizadores ou jornalistas deverá jogar a partida oficial seguinte do campeonato profissional que estiver disputando com portas fechadas. </w:t>
      </w:r>
    </w:p>
    <w:p w:rsidR="00792C97" w:rsidRPr="008F16E2" w:rsidRDefault="00792C97" w:rsidP="00792C97">
      <w:pPr>
        <w:spacing w:after="200" w:line="360" w:lineRule="exact"/>
        <w:ind w:firstLine="2302"/>
        <w:rPr>
          <w:rFonts w:ascii="Bookman Old Style" w:eastAsia="Times New Roman" w:hAnsi="Bookman Old Style" w:cs="Times New Roman"/>
          <w:snapToGrid w:val="0"/>
          <w:color w:val="000000"/>
          <w:sz w:val="24"/>
          <w:szCs w:val="28"/>
          <w:lang w:eastAsia="pt-BR"/>
        </w:rPr>
      </w:pPr>
      <w:r w:rsidRPr="008F16E2">
        <w:rPr>
          <w:rFonts w:ascii="Bookman Old Style" w:eastAsia="Times New Roman" w:hAnsi="Bookman Old Style" w:cs="Times New Roman"/>
          <w:snapToGrid w:val="0"/>
          <w:color w:val="000000"/>
          <w:sz w:val="24"/>
          <w:szCs w:val="28"/>
          <w:lang w:eastAsia="pt-BR"/>
        </w:rPr>
        <w:t>Também propomos nova redação para o art. 39-A vigente, de forma a incluir, dentre os atos passíveis de impedir o comparecimento de torcida organizada, bem como de seus associados, a eventos esportivos pelo prazo de três anos, o cometimento de atos de injúria racial contra competidores, árbitros, fiscais, dirigentes, organizadores ou jornalistas.</w:t>
      </w:r>
    </w:p>
    <w:p w:rsidR="00792C97" w:rsidRPr="008F16E2" w:rsidRDefault="00792C97" w:rsidP="00792C97">
      <w:pPr>
        <w:spacing w:after="200" w:line="360" w:lineRule="exact"/>
        <w:rPr>
          <w:rFonts w:ascii="Bookman Old Style" w:eastAsia="Times New Roman" w:hAnsi="Bookman Old Style" w:cs="Times New Roman"/>
          <w:snapToGrid w:val="0"/>
          <w:color w:val="000000"/>
          <w:sz w:val="24"/>
          <w:szCs w:val="28"/>
          <w:lang w:eastAsia="pt-BR"/>
        </w:rPr>
      </w:pPr>
      <w:r w:rsidRPr="008F16E2">
        <w:rPr>
          <w:rFonts w:ascii="Bookman Old Style" w:eastAsia="Times New Roman" w:hAnsi="Bookman Old Style" w:cs="Times New Roman"/>
          <w:snapToGrid w:val="0"/>
          <w:color w:val="000000"/>
          <w:sz w:val="24"/>
          <w:szCs w:val="28"/>
          <w:lang w:eastAsia="pt-BR"/>
        </w:rPr>
        <w:t>Em razão das considerações apresentadas, peço o apoio dos nobres pares para a aprovação deste projeto de lei.</w:t>
      </w:r>
    </w:p>
    <w:p w:rsidR="00792C97" w:rsidRPr="008F16E2" w:rsidRDefault="00792C97" w:rsidP="00792C97">
      <w:pPr>
        <w:spacing w:after="200" w:line="360" w:lineRule="exact"/>
        <w:rPr>
          <w:rFonts w:ascii="Bookman Old Style" w:eastAsia="Times New Roman" w:hAnsi="Bookman Old Style" w:cs="Times New Roman"/>
          <w:snapToGrid w:val="0"/>
          <w:color w:val="000000"/>
          <w:sz w:val="24"/>
          <w:szCs w:val="28"/>
          <w:lang w:eastAsia="pt-BR"/>
        </w:rPr>
      </w:pPr>
      <w:r w:rsidRPr="008F16E2">
        <w:rPr>
          <w:rFonts w:ascii="Bookman Old Style" w:eastAsia="Times New Roman" w:hAnsi="Bookman Old Style" w:cs="Times New Roman"/>
          <w:snapToGrid w:val="0"/>
          <w:color w:val="000000"/>
          <w:sz w:val="24"/>
          <w:szCs w:val="28"/>
          <w:lang w:eastAsia="pt-BR"/>
        </w:rPr>
        <w:t xml:space="preserve">               Sala das Sessões, em</w:t>
      </w:r>
      <w:r w:rsidR="008F16E2">
        <w:rPr>
          <w:rFonts w:ascii="Bookman Old Style" w:eastAsia="Times New Roman" w:hAnsi="Bookman Old Style" w:cs="Times New Roman"/>
          <w:snapToGrid w:val="0"/>
          <w:color w:val="000000"/>
          <w:sz w:val="24"/>
          <w:szCs w:val="28"/>
          <w:lang w:eastAsia="pt-BR"/>
        </w:rPr>
        <w:t xml:space="preserve"> 25 </w:t>
      </w:r>
      <w:r w:rsidRPr="008F16E2">
        <w:rPr>
          <w:rFonts w:ascii="Bookman Old Style" w:eastAsia="Times New Roman" w:hAnsi="Bookman Old Style" w:cs="Times New Roman"/>
          <w:snapToGrid w:val="0"/>
          <w:color w:val="000000"/>
          <w:sz w:val="24"/>
          <w:szCs w:val="28"/>
          <w:lang w:eastAsia="pt-BR"/>
        </w:rPr>
        <w:t>de</w:t>
      </w:r>
      <w:r w:rsidR="008F16E2">
        <w:rPr>
          <w:rFonts w:ascii="Bookman Old Style" w:eastAsia="Times New Roman" w:hAnsi="Bookman Old Style" w:cs="Times New Roman"/>
          <w:snapToGrid w:val="0"/>
          <w:color w:val="000000"/>
          <w:sz w:val="24"/>
          <w:szCs w:val="28"/>
          <w:lang w:eastAsia="pt-BR"/>
        </w:rPr>
        <w:t xml:space="preserve"> fevereiro </w:t>
      </w:r>
      <w:r w:rsidRPr="008F16E2">
        <w:rPr>
          <w:rFonts w:ascii="Bookman Old Style" w:eastAsia="Times New Roman" w:hAnsi="Bookman Old Style" w:cs="Times New Roman"/>
          <w:snapToGrid w:val="0"/>
          <w:color w:val="000000"/>
          <w:sz w:val="24"/>
          <w:szCs w:val="28"/>
          <w:lang w:eastAsia="pt-BR"/>
        </w:rPr>
        <w:t>de 2015</w:t>
      </w:r>
    </w:p>
    <w:p w:rsidR="00792C97" w:rsidRPr="008F16E2" w:rsidRDefault="00792C97" w:rsidP="00792C97">
      <w:pPr>
        <w:jc w:val="left"/>
        <w:rPr>
          <w:rFonts w:ascii="Bookman Old Style" w:eastAsia="Times New Roman" w:hAnsi="Bookman Old Style" w:cs="Times New Roman"/>
          <w:sz w:val="24"/>
          <w:szCs w:val="28"/>
          <w:lang w:eastAsia="pt-BR"/>
        </w:rPr>
      </w:pPr>
    </w:p>
    <w:p w:rsidR="00792C97" w:rsidRPr="008F16E2" w:rsidRDefault="00792C97" w:rsidP="00792C97">
      <w:pPr>
        <w:widowControl w:val="0"/>
        <w:spacing w:line="320" w:lineRule="exact"/>
        <w:ind w:left="2268"/>
        <w:jc w:val="center"/>
        <w:rPr>
          <w:rFonts w:ascii="Bookman Old Style" w:eastAsia="Times New Roman" w:hAnsi="Bookman Old Style" w:cs="Times New Roman"/>
          <w:b/>
          <w:snapToGrid w:val="0"/>
          <w:color w:val="000000"/>
          <w:sz w:val="24"/>
          <w:szCs w:val="28"/>
          <w:lang w:eastAsia="pt-BR"/>
        </w:rPr>
      </w:pPr>
      <w:r w:rsidRPr="008F16E2">
        <w:rPr>
          <w:rFonts w:ascii="Bookman Old Style" w:eastAsia="Times New Roman" w:hAnsi="Bookman Old Style" w:cs="Times New Roman"/>
          <w:snapToGrid w:val="0"/>
          <w:color w:val="000000"/>
          <w:sz w:val="24"/>
          <w:szCs w:val="28"/>
          <w:lang w:eastAsia="pt-BR"/>
        </w:rPr>
        <w:t>Deputado</w:t>
      </w:r>
      <w:r w:rsidRPr="008F16E2">
        <w:rPr>
          <w:rFonts w:ascii="Bookman Old Style" w:eastAsia="Times New Roman" w:hAnsi="Bookman Old Style" w:cs="Times New Roman"/>
          <w:b/>
          <w:snapToGrid w:val="0"/>
          <w:color w:val="000000"/>
          <w:sz w:val="24"/>
          <w:szCs w:val="28"/>
          <w:lang w:eastAsia="pt-BR"/>
        </w:rPr>
        <w:t xml:space="preserve"> RÔMULO GOUVEIA </w:t>
      </w:r>
    </w:p>
    <w:p w:rsidR="00792C97" w:rsidRPr="008F16E2" w:rsidRDefault="00792C97" w:rsidP="00792C97">
      <w:pPr>
        <w:widowControl w:val="0"/>
        <w:tabs>
          <w:tab w:val="center" w:pos="5386"/>
          <w:tab w:val="left" w:pos="7140"/>
        </w:tabs>
        <w:spacing w:line="320" w:lineRule="exact"/>
        <w:ind w:left="2268"/>
        <w:jc w:val="left"/>
        <w:rPr>
          <w:rFonts w:ascii="Bookman Old Style" w:eastAsia="Times New Roman" w:hAnsi="Bookman Old Style" w:cs="Times New Roman"/>
          <w:sz w:val="24"/>
          <w:szCs w:val="26"/>
          <w:lang w:eastAsia="pt-BR"/>
        </w:rPr>
      </w:pPr>
      <w:r w:rsidRPr="008F16E2">
        <w:rPr>
          <w:rFonts w:ascii="Bookman Old Style" w:eastAsia="Times New Roman" w:hAnsi="Bookman Old Style" w:cs="Times New Roman"/>
          <w:b/>
          <w:snapToGrid w:val="0"/>
          <w:color w:val="000000"/>
          <w:sz w:val="24"/>
          <w:szCs w:val="28"/>
          <w:lang w:eastAsia="pt-BR"/>
        </w:rPr>
        <w:tab/>
        <w:t xml:space="preserve">              PSD/PB</w:t>
      </w:r>
      <w:r w:rsidRPr="008F16E2">
        <w:rPr>
          <w:rFonts w:ascii="Bookman Old Style" w:eastAsia="Times New Roman" w:hAnsi="Bookman Old Style" w:cs="Times New Roman"/>
          <w:b/>
          <w:snapToGrid w:val="0"/>
          <w:color w:val="000000"/>
          <w:sz w:val="24"/>
          <w:szCs w:val="26"/>
          <w:lang w:eastAsia="pt-BR"/>
        </w:rPr>
        <w:tab/>
      </w:r>
    </w:p>
    <w:p w:rsidR="00792C97" w:rsidRDefault="00792C97" w:rsidP="00792C97">
      <w:pPr>
        <w:rPr>
          <w:sz w:val="24"/>
        </w:rPr>
      </w:pPr>
    </w:p>
    <w:p w:rsidR="00792C97" w:rsidRDefault="00792C97" w:rsidP="00792C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48980_LEGISLACAO"/>
      <w:bookmarkEnd w:id="10"/>
      <w:r>
        <w:rPr>
          <w:b/>
          <w:sz w:val="24"/>
        </w:rPr>
        <w:t>LEGISLAÇÃO CITADA ANEXADA PELA</w:t>
      </w:r>
    </w:p>
    <w:p w:rsidR="00792C97" w:rsidRDefault="00792C97" w:rsidP="00792C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792C97" w:rsidRDefault="00792C97" w:rsidP="00792C97">
      <w:pPr>
        <w:jc w:val="center"/>
        <w:rPr>
          <w:b/>
          <w:sz w:val="24"/>
        </w:rPr>
      </w:pPr>
    </w:p>
    <w:p w:rsidR="00792C97" w:rsidRPr="00792C97" w:rsidRDefault="00792C97" w:rsidP="00792C97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  <w:t>LEI Nº 10.671, DE 15 DE MAIO DE 2003</w:t>
      </w:r>
    </w:p>
    <w:p w:rsidR="00792C97" w:rsidRPr="00792C97" w:rsidRDefault="00792C97" w:rsidP="00792C97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792C97" w:rsidRPr="00792C97" w:rsidRDefault="00792C97" w:rsidP="00792C97">
      <w:pPr>
        <w:ind w:left="4536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Dispõe sobre o Estatuto de Defesa do Torcedor e dá outras providências. </w:t>
      </w:r>
    </w:p>
    <w:p w:rsidR="00792C97" w:rsidRPr="00792C97" w:rsidRDefault="00792C97" w:rsidP="00792C97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Cs w:val="20"/>
          <w:lang w:eastAsia="pt-BR"/>
        </w:rPr>
        <w:lastRenderedPageBreak/>
        <w:t xml:space="preserve"> </w:t>
      </w:r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O PRESIDENTE DA REPÚBLICA </w:t>
      </w:r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Faço saber que o Congresso Nacional decreta e eu sanciono a seguinte Lei: </w:t>
      </w:r>
    </w:p>
    <w:p w:rsidR="00792C97" w:rsidRPr="00792C97" w:rsidRDefault="00792C97" w:rsidP="00792C97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</w:t>
      </w:r>
    </w:p>
    <w:p w:rsidR="00792C97" w:rsidRPr="00792C97" w:rsidRDefault="00792C97" w:rsidP="00792C97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792C97" w:rsidRPr="00792C97" w:rsidRDefault="00792C97" w:rsidP="00792C97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IV</w:t>
      </w:r>
    </w:p>
    <w:p w:rsidR="00792C97" w:rsidRPr="00792C97" w:rsidRDefault="00792C97" w:rsidP="00792C97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>DA SEGURANÇA DO TORCEDOR PARTÍCIPE DO EVENTO ESPORTIVO</w:t>
      </w:r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13.  O torcedor tem direito a segurança nos locais onde são realizados os eventos esportivos antes, durante e após a realização das partidas. </w:t>
      </w:r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>Parágrafo único. Será assegurado acessibilidade ao torcedor portador de deficiência ou com mobilidade reduzida.</w:t>
      </w:r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13-A. São condições de acesso e permanência do torcedor no recinto esportivo, sem prejuízo de outras condições previstas em lei: </w:t>
      </w:r>
      <w:hyperlink r:id="rId8" w:history="1">
        <w:r w:rsidRPr="00792C9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(Artigo acrescido pela Lei nº 12.299, de 27/7/2010)</w:t>
        </w:r>
      </w:hyperlink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estar na posse de ingresso válido; </w:t>
      </w:r>
      <w:hyperlink r:id="rId9" w:history="1">
        <w:r w:rsidRPr="00792C9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(Inciso acrescido pela Lei nº 12.299, de 27/7/2010)</w:t>
        </w:r>
      </w:hyperlink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não portar objetos, bebidas ou substâncias proibidas ou suscetíveis de gerar ou possibilitar a prática de atos de violência; </w:t>
      </w:r>
      <w:hyperlink r:id="rId10" w:history="1">
        <w:r w:rsidRPr="00792C9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(Inciso acrescido pela Lei nº 12.299, de 27/7/2010)</w:t>
        </w:r>
      </w:hyperlink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III - consentir com a revista pessoal de prevenção e segurança; </w:t>
      </w:r>
      <w:hyperlink r:id="rId11" w:history="1">
        <w:r w:rsidRPr="00792C9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(Inciso acrescido pela Lei nº 12.299, de 27/7/2010)</w:t>
        </w:r>
      </w:hyperlink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IV - não portar ou ostentar cartazes, bandeiras, símbolos ou outros sinais com mensagens ofensivas, inclusive de caráter racista ou xenófobo; </w:t>
      </w:r>
      <w:hyperlink r:id="rId12" w:history="1">
        <w:r w:rsidRPr="00792C9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(Inciso acrescido pela Lei nº 12.299, de 27/7/2010)</w:t>
        </w:r>
      </w:hyperlink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 - não entoar cânticos discriminatórios, racistas ou xenófobos; </w:t>
      </w:r>
      <w:hyperlink r:id="rId13" w:history="1">
        <w:r w:rsidRPr="00792C9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(Inciso acrescido pela Lei nº 12.299, de 27/7/2010)</w:t>
        </w:r>
      </w:hyperlink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 - não arremessar objetos, de qualquer natureza, no interior do recinto esportivo; </w:t>
      </w:r>
      <w:hyperlink r:id="rId14" w:history="1">
        <w:r w:rsidRPr="00792C9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(Inciso acrescido pela Lei nº 12.299, de 27/7/2010)</w:t>
        </w:r>
      </w:hyperlink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VII - não portar ou utilizar fogos de artifício ou quaisquer outros engenhos pirotécnicos ou produtores de efeitos análogos; </w:t>
      </w:r>
      <w:hyperlink r:id="rId15" w:history="1">
        <w:r w:rsidRPr="00792C9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(Inciso acrescido pela Lei nº 12.299, de 27/7/2010)</w:t>
        </w:r>
      </w:hyperlink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VIII - não incitar e não praticar atos de violência no estádio, qualquer que seja a sua natureza; </w:t>
      </w:r>
      <w:hyperlink r:id="rId16" w:history="1">
        <w:r w:rsidRPr="00792C9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(Inciso acrescido pela Lei nº 12.299, de 27/7/2010)</w:t>
        </w:r>
      </w:hyperlink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IX - não invadir e não incitar a invasão, de qualquer forma, da área restrita aos competidores; </w:t>
      </w:r>
      <w:hyperlink r:id="rId17" w:history="1">
        <w:r w:rsidRPr="00792C9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(Inciso acrescido pela Lei nº 12.299, de 27/7/2010)</w:t>
        </w:r>
      </w:hyperlink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X - não utilizar bandeiras, inclusive com mastro de bambu ou similares, para outros fins que não o da manifestação festiva e amigável. </w:t>
      </w:r>
      <w:hyperlink r:id="rId18" w:history="1">
        <w:r w:rsidRPr="00792C9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(Inciso acrescido pela Lei nº 12.663, de 5/6/2012)</w:t>
        </w:r>
      </w:hyperlink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Parágrafo único. O não cumprimento das condições estabelecidas neste artigo implicará a impossibilidade de ingresso do torcedor ao recinto esportivo, ou, se for o caso, o seu afastamento imediato do recinto, sem prejuízo de outras sanções administrativas, civis ou penais eventualmente cabíveis. </w:t>
      </w:r>
      <w:hyperlink r:id="rId19" w:history="1">
        <w:r w:rsidRPr="00792C9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único acrescido pela Lei nº 12.299, de 27/7/2010)</w:t>
        </w:r>
      </w:hyperlink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14.  Sem prejuízo do disposto nos arts. 12 a 14 da Lei nº 8.078, de 11 de setembro de 1990, a responsabilidade pela segurança do torcedor em evento esportivo é da entidade de prática desportiva detentora do mando de jogo e de seus dirigentes, que deverão: </w:t>
      </w:r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solicitar ao Poder Público competente a presença de agentes públicos de segurança, devidamente identificados, responsáveis pela segurança dos torcedores dentro e fora dos estádios e demais locais de realização de eventos esportivos; </w:t>
      </w:r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II - informar imediatamente após a decisão acerca da realização da partida, dentre outros, aos órgãos públicos de segurança, transporte e higiene, os dados necessários à segurança da partida, especialmente: </w:t>
      </w:r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a) o local;  </w:t>
      </w:r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b) o horário de abertura do estádio;  </w:t>
      </w:r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c) a capacidade de público do estádio; e  </w:t>
      </w:r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d) a expectativa de público;  </w:t>
      </w:r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III - colocar à disposição do torcedor orientadores e serviço de atendimento para que aquele encaminhe suas reclamações no momento da partida, em local: </w:t>
      </w:r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a) amplamente divulgado e de fácil acesso; e  </w:t>
      </w:r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b) situado no estádio.  </w:t>
      </w:r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 É dever da entidade de prática desportiva detentora do mando de jogo solucionar imediatamente, sempre que possível, as reclamações dirigidas ao serviço de atendimento referido no inciso III, bem como reportá-las ao Ouvidor da Competição e, nos casos relacionados à violação de direitos e interesses de consumidores, aos órgãos de defesa e proteção do consumidor. </w:t>
      </w:r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 </w:t>
      </w:r>
      <w:hyperlink r:id="rId20" w:history="1">
        <w:r w:rsidRPr="00792C9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 Parágrafo revogado pela Lei nº 12.299, de 27/7/2010)</w:t>
        </w:r>
      </w:hyperlink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</w:t>
      </w:r>
    </w:p>
    <w:p w:rsidR="00792C97" w:rsidRPr="00792C97" w:rsidRDefault="00792C97" w:rsidP="00792C97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.......................................................................................................................................................</w:t>
      </w:r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792C97" w:rsidRPr="00792C97" w:rsidRDefault="00792C97" w:rsidP="00792C97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XI</w:t>
      </w:r>
    </w:p>
    <w:p w:rsidR="00792C97" w:rsidRPr="00792C97" w:rsidRDefault="00792C97" w:rsidP="00792C97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>DAS PENALIDADES</w:t>
      </w:r>
    </w:p>
    <w:p w:rsidR="00792C97" w:rsidRPr="00792C97" w:rsidRDefault="00792C97" w:rsidP="00792C97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......................................................................................................................................................</w:t>
      </w:r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39. </w:t>
      </w:r>
      <w:hyperlink r:id="rId21" w:history="1">
        <w:r w:rsidRPr="00792C9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(Artigo revogado pela Lei nº 12.299, de 27/7/2010)</w:t>
        </w:r>
      </w:hyperlink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39-A. A torcida organizada que, em evento esportivo, promover tumulto; praticar ou incitar a violência; ou invadir local restrito aos competidores, árbitros, fiscais, dirigentes, organizadores ou jornalistas será impedida, assim como seus associados ou membros, de comparecer a eventos esportivos pelo prazo de até 3 (três) anos. </w:t>
      </w:r>
      <w:hyperlink r:id="rId22" w:history="1">
        <w:r w:rsidRPr="00792C9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(Artigo acrescido pela Lei nº 12.299, de 27/7/2010)</w:t>
        </w:r>
      </w:hyperlink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39-B. A torcida organizada responde civilmente, de forma objetiva e solidária, pelos danos causados por qualquer dos seus associados ou membros no local do evento esportivo, em suas imediações ou no trajeto de ida e volta para o evento. </w:t>
      </w:r>
      <w:hyperlink r:id="rId23" w:history="1">
        <w:r w:rsidRPr="00792C9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(Arti</w:t>
        </w:r>
        <w:bookmarkStart w:id="12" w:name="_Hlt268102887"/>
        <w:r w:rsidRPr="00792C9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g</w:t>
        </w:r>
        <w:bookmarkEnd w:id="12"/>
        <w:r w:rsidRPr="00792C97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o acrescido pela Lei nº 12.299, de 27/7/2010)</w:t>
        </w:r>
      </w:hyperlink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792C97" w:rsidRPr="00792C97" w:rsidRDefault="00792C97" w:rsidP="00792C97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40.  A defesa dos interesses e direitos dos torcedores em juízo observará, no que couber, a mesma disciplina da defesa dos consumidores em juízo de que trata o Título III da Lei nº 8.078, de 11 de setembro de 1990. </w:t>
      </w:r>
    </w:p>
    <w:p w:rsidR="00792C97" w:rsidRPr="00792C97" w:rsidRDefault="00792C97" w:rsidP="00792C97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92C97" w:rsidRPr="00792C97" w:rsidRDefault="00792C97" w:rsidP="00792C97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792C97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</w:t>
      </w:r>
    </w:p>
    <w:p w:rsidR="00792C97" w:rsidRDefault="00792C97" w:rsidP="00792C97">
      <w:pPr>
        <w:jc w:val="center"/>
        <w:rPr>
          <w:b/>
          <w:sz w:val="24"/>
        </w:rPr>
      </w:pPr>
      <w:bookmarkStart w:id="13" w:name="z948980_FIMDOCUMENTO"/>
      <w:bookmarkEnd w:id="11"/>
      <w:bookmarkEnd w:id="1"/>
    </w:p>
    <w:p w:rsidR="00792C97" w:rsidRPr="00792C97" w:rsidRDefault="00792C97" w:rsidP="00792C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3"/>
    </w:p>
    <w:sectPr w:rsidR="00792C97" w:rsidRPr="00792C97" w:rsidSect="00792C97">
      <w:headerReference w:type="even" r:id="rId24"/>
      <w:headerReference w:type="default" r:id="rId25"/>
      <w:footerReference w:type="even" r:id="rId26"/>
      <w:footerReference w:type="default" r:id="rId27"/>
      <w:footerReference w:type="first" r:id="rId28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C97" w:rsidRDefault="00792C97" w:rsidP="00792C97">
      <w:r>
        <w:separator/>
      </w:r>
    </w:p>
  </w:endnote>
  <w:endnote w:type="continuationSeparator" w:id="0">
    <w:p w:rsidR="00792C97" w:rsidRDefault="00792C97" w:rsidP="00792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C97" w:rsidRDefault="00792C97" w:rsidP="00792C9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792C97" w:rsidRDefault="00792C97" w:rsidP="00792C9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92C97" w:rsidRPr="00792C97" w:rsidRDefault="00792C97" w:rsidP="00792C97">
    <w:pPr>
      <w:pStyle w:val="Rodap"/>
      <w:jc w:val="center"/>
    </w:pPr>
    <w:r>
      <w:t>PL 451/2015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C97" w:rsidRDefault="00792C97" w:rsidP="00792C9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792C97" w:rsidRDefault="00792C97" w:rsidP="00792C9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92C97" w:rsidRPr="00792C97" w:rsidRDefault="00792C97" w:rsidP="00792C97">
    <w:pPr>
      <w:pStyle w:val="Rodap"/>
      <w:jc w:val="center"/>
    </w:pPr>
    <w:r>
      <w:t>PL 451/2015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C97" w:rsidRDefault="00792C97" w:rsidP="00792C9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792C97" w:rsidRPr="00792C97" w:rsidRDefault="00792C97" w:rsidP="00792C9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C97" w:rsidRDefault="00792C97" w:rsidP="00792C97">
      <w:r>
        <w:separator/>
      </w:r>
    </w:p>
  </w:footnote>
  <w:footnote w:type="continuationSeparator" w:id="0">
    <w:p w:rsidR="00792C97" w:rsidRDefault="00792C97" w:rsidP="00792C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C97" w:rsidRPr="00792C97" w:rsidRDefault="00792C97" w:rsidP="00792C9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F94B91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C97" w:rsidRPr="00792C97" w:rsidRDefault="00792C97" w:rsidP="00792C9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F94B91">
      <w:rPr>
        <w:noProof/>
      </w:rPr>
      <w:t>5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C97"/>
    <w:rsid w:val="00092395"/>
    <w:rsid w:val="00792C97"/>
    <w:rsid w:val="008F16E2"/>
    <w:rsid w:val="00900730"/>
    <w:rsid w:val="00F94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92C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2C9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92C9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92C9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792C9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92C97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92C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2C9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92C9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92C9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792C9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92C97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2.camara.gov.br/legin/fed/lei/2010/lei-12299-27-julho-2010-607455-publicacaooriginal-128415-pl.html" TargetMode="External"/><Relationship Id="rId13" Type="http://schemas.openxmlformats.org/officeDocument/2006/relationships/hyperlink" Target="http://www2.camara.gov.br/legin/fed/lei/2010/lei-12299-27-julho-2010-607455-publicacaooriginal-128415-pl.html" TargetMode="External"/><Relationship Id="rId18" Type="http://schemas.openxmlformats.org/officeDocument/2006/relationships/hyperlink" Target="http://www2.camara.gov.br/legin/fed/lei/2012/lei-12663-5-junho-2012-613164-publicacaooriginal-136362-pl.html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://www2.camara.gov.br/legin/fed/lei/2010/lei-12299-27-julho-2010-607455-publicacaooriginal-128415-pl.html" TargetMode="External"/><Relationship Id="rId7" Type="http://schemas.openxmlformats.org/officeDocument/2006/relationships/image" Target="media/image1.JPG"/><Relationship Id="rId12" Type="http://schemas.openxmlformats.org/officeDocument/2006/relationships/hyperlink" Target="http://www2.camara.gov.br/legin/fed/lei/2010/lei-12299-27-julho-2010-607455-publicacaooriginal-128415-pl.html" TargetMode="External"/><Relationship Id="rId17" Type="http://schemas.openxmlformats.org/officeDocument/2006/relationships/hyperlink" Target="http://www2.camara.gov.br/legin/fed/lei/2010/lei-12299-27-julho-2010-607455-publicacaooriginal-128415-pl.html" TargetMode="External"/><Relationship Id="rId25" Type="http://schemas.openxmlformats.org/officeDocument/2006/relationships/header" Target="header2.xml"/><Relationship Id="rId2" Type="http://schemas.microsoft.com/office/2007/relationships/stylesWithEffects" Target="stylesWithEffects.xml"/><Relationship Id="rId16" Type="http://schemas.openxmlformats.org/officeDocument/2006/relationships/hyperlink" Target="http://www2.camara.gov.br/legin/fed/lei/2010/lei-12299-27-julho-2010-607455-publicacaooriginal-128415-pl.html" TargetMode="External"/><Relationship Id="rId20" Type="http://schemas.openxmlformats.org/officeDocument/2006/relationships/hyperlink" Target="http://www2.camara.gov.br/legin/fed/lei/2010/lei-12299-27-julho-2010-607455-publicacaooriginal-128415-pl.html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2.camara.gov.br/legin/fed/lei/2010/lei-12299-27-julho-2010-607455-publicacaooriginal-128415-pl.html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://www2.camara.gov.br/legin/fed/lei/2010/lei-12299-27-julho-2010-607455-publicacaooriginal-128415-pl.html" TargetMode="External"/><Relationship Id="rId23" Type="http://schemas.openxmlformats.org/officeDocument/2006/relationships/hyperlink" Target="http://www2.camara.gov.br/legin/fed/lei/2010/lei-12299-27-julho-2010-607455-publicacaooriginal-128415-pl.html" TargetMode="External"/><Relationship Id="rId28" Type="http://schemas.openxmlformats.org/officeDocument/2006/relationships/footer" Target="footer3.xml"/><Relationship Id="rId10" Type="http://schemas.openxmlformats.org/officeDocument/2006/relationships/hyperlink" Target="http://www2.camara.gov.br/legin/fed/lei/2010/lei-12299-27-julho-2010-607455-publicacaooriginal-128415-pl.html" TargetMode="External"/><Relationship Id="rId19" Type="http://schemas.openxmlformats.org/officeDocument/2006/relationships/hyperlink" Target="http://www2.camara.gov.br/legin/fed/lei/2010/lei-12299-27-julho-2010-607455-publicacaooriginal-128415-pl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2.camara.gov.br/legin/fed/lei/2010/lei-12299-27-julho-2010-607455-publicacaooriginal-128415-pl.html" TargetMode="External"/><Relationship Id="rId14" Type="http://schemas.openxmlformats.org/officeDocument/2006/relationships/hyperlink" Target="http://www2.camara.gov.br/legin/fed/lei/2010/lei-12299-27-julho-2010-607455-publicacaooriginal-128415-pl.html" TargetMode="External"/><Relationship Id="rId22" Type="http://schemas.openxmlformats.org/officeDocument/2006/relationships/hyperlink" Target="http://www2.camara.gov.br/legin/fed/lei/2010/lei-12299-27-julho-2010-607455-publicacaooriginal-128415-pl.html" TargetMode="External"/><Relationship Id="rId27" Type="http://schemas.openxmlformats.org/officeDocument/2006/relationships/footer" Target="footer2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1670</Words>
  <Characters>9876</Characters>
  <Application>Microsoft Office Word</Application>
  <DocSecurity>0</DocSecurity>
  <Lines>229</Lines>
  <Paragraphs>101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cp:lastPrinted>2015-03-06T18:44:00Z</cp:lastPrinted>
  <dcterms:created xsi:type="dcterms:W3CDTF">2015-03-10T17:35:00Z</dcterms:created>
  <dcterms:modified xsi:type="dcterms:W3CDTF">2015-03-10T22:46:00Z</dcterms:modified>
</cp:coreProperties>
</file>