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5C4" w:rsidRDefault="00055E3E" w:rsidP="00AA35F5">
      <w:pPr>
        <w:jc w:val="center"/>
      </w:pPr>
      <w:bookmarkStart w:id="0" w:name="z947847_BRASAO"/>
      <w:bookmarkStart w:id="1" w:name="z947847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E3E" w:rsidRPr="00055E3E" w:rsidRDefault="00055E3E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055E3E">
                              <w:rPr>
                                <w:rFonts w:ascii="3 of 9 Barcode" w:hAnsi="3 of 9 Barcode"/>
                                <w:sz w:val="34"/>
                              </w:rPr>
                              <w:t>*C0051515A*</w:t>
                            </w:r>
                            <w:bookmarkStart w:id="2" w:name="_GoBack"/>
                          </w:p>
                          <w:bookmarkEnd w:id="2"/>
                          <w:p w:rsidR="00055E3E" w:rsidRPr="00055E3E" w:rsidRDefault="00055E3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C0051515A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055E3E" w:rsidRPr="00055E3E" w:rsidRDefault="00055E3E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055E3E">
                        <w:rPr>
                          <w:rFonts w:ascii="3 of 9 Barcode" w:hAnsi="3 of 9 Barcode"/>
                          <w:sz w:val="34"/>
                        </w:rPr>
                        <w:t>*C0051515A*</w:t>
                      </w:r>
                      <w:bookmarkStart w:id="3" w:name="_GoBack"/>
                    </w:p>
                    <w:bookmarkEnd w:id="3"/>
                    <w:p w:rsidR="00055E3E" w:rsidRPr="00055E3E" w:rsidRDefault="00055E3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C0051515A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A35F5">
        <w:rPr>
          <w:noProof/>
          <w:lang w:eastAsia="pt-BR"/>
        </w:rPr>
        <w:drawing>
          <wp:inline distT="0" distB="0" distL="0" distR="0" wp14:anchorId="7CB98DB4" wp14:editId="757E3B95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35F5" w:rsidRDefault="00AA35F5" w:rsidP="00AA35F5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A35F5" w:rsidRDefault="00AA35F5" w:rsidP="00AA35F5">
      <w:pPr>
        <w:rPr>
          <w:sz w:val="24"/>
        </w:rPr>
      </w:pPr>
    </w:p>
    <w:p w:rsidR="00AA35F5" w:rsidRDefault="00AA35F5" w:rsidP="00AA35F5">
      <w:pPr>
        <w:keepNext/>
        <w:keepLines/>
        <w:jc w:val="center"/>
        <w:rPr>
          <w:b/>
          <w:sz w:val="44"/>
        </w:rPr>
      </w:pPr>
      <w:bookmarkStart w:id="4" w:name="z947847_TITULO"/>
      <w:r>
        <w:rPr>
          <w:b/>
          <w:sz w:val="44"/>
        </w:rPr>
        <w:t>PROJETO DE LEI N.º 438, DE 2015</w:t>
      </w:r>
      <w:bookmarkEnd w:id="4"/>
    </w:p>
    <w:p w:rsidR="00AA35F5" w:rsidRDefault="00AA35F5" w:rsidP="00AA35F5">
      <w:pPr>
        <w:keepLines/>
        <w:jc w:val="center"/>
        <w:rPr>
          <w:b/>
          <w:sz w:val="28"/>
        </w:rPr>
      </w:pPr>
      <w:bookmarkStart w:id="5" w:name="z947847_AUTOR"/>
      <w:r>
        <w:rPr>
          <w:b/>
          <w:sz w:val="28"/>
        </w:rPr>
        <w:t>(Do Sr. Felipe Bornier)</w:t>
      </w:r>
      <w:bookmarkEnd w:id="5"/>
    </w:p>
    <w:p w:rsidR="00AA35F5" w:rsidRDefault="00AA35F5" w:rsidP="00AA35F5">
      <w:pPr>
        <w:keepLines/>
        <w:jc w:val="center"/>
        <w:rPr>
          <w:b/>
          <w:sz w:val="28"/>
        </w:rPr>
      </w:pPr>
    </w:p>
    <w:p w:rsidR="00AA35F5" w:rsidRDefault="00AA35F5" w:rsidP="00AA35F5">
      <w:pPr>
        <w:rPr>
          <w:sz w:val="28"/>
        </w:rPr>
      </w:pPr>
      <w:bookmarkStart w:id="6" w:name="z947847_EMENTA"/>
      <w:r>
        <w:rPr>
          <w:sz w:val="28"/>
        </w:rPr>
        <w:t>Estabelece diretrizes para as ações voltadas para a educação nutricional e segurança alimentar da população e dá outras providências</w:t>
      </w:r>
      <w:bookmarkEnd w:id="6"/>
    </w:p>
    <w:p w:rsidR="00AA35F5" w:rsidRDefault="00AA35F5" w:rsidP="00AA35F5">
      <w:pPr>
        <w:rPr>
          <w:sz w:val="28"/>
        </w:rPr>
      </w:pPr>
    </w:p>
    <w:p w:rsidR="00AA35F5" w:rsidRDefault="00AA35F5" w:rsidP="00AA35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7847_DESPACHO"/>
    </w:p>
    <w:p w:rsidR="00AA35F5" w:rsidRDefault="00AA35F5" w:rsidP="00AA35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A35F5" w:rsidRDefault="00AA35F5" w:rsidP="00AA35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PL-1234/2007. </w:t>
      </w:r>
    </w:p>
    <w:p w:rsidR="00AA35F5" w:rsidRDefault="00AA35F5" w:rsidP="00AA35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A35F5" w:rsidRDefault="00AA35F5" w:rsidP="00AA35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7847_APRECIACAO"/>
      <w:bookmarkEnd w:id="7"/>
      <w:r>
        <w:rPr>
          <w:b/>
          <w:sz w:val="28"/>
        </w:rPr>
        <w:t>APRECIAÇÃO:</w:t>
      </w:r>
    </w:p>
    <w:p w:rsidR="00AA35F5" w:rsidRDefault="00AA35F5" w:rsidP="00AA35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AA35F5" w:rsidRDefault="00AA35F5" w:rsidP="00AA35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AA35F5" w:rsidRDefault="00AA35F5" w:rsidP="00AA35F5">
      <w:pPr>
        <w:rPr>
          <w:sz w:val="28"/>
        </w:rPr>
      </w:pPr>
    </w:p>
    <w:p w:rsidR="00AA35F5" w:rsidRDefault="00AA35F5" w:rsidP="00AA35F5">
      <w:pPr>
        <w:jc w:val="center"/>
        <w:rPr>
          <w:b/>
          <w:sz w:val="28"/>
        </w:rPr>
      </w:pPr>
      <w:bookmarkStart w:id="9" w:name="z947847_PUBINICIAL"/>
      <w:r>
        <w:rPr>
          <w:b/>
          <w:sz w:val="28"/>
        </w:rPr>
        <w:t>PUBLICAÇÃO INICIAL</w:t>
      </w:r>
    </w:p>
    <w:p w:rsidR="00AA35F5" w:rsidRDefault="00AA35F5" w:rsidP="00AA35F5">
      <w:pPr>
        <w:jc w:val="center"/>
        <w:rPr>
          <w:b/>
        </w:rPr>
      </w:pPr>
      <w:r>
        <w:rPr>
          <w:b/>
        </w:rPr>
        <w:t>Art. 137, caput - RICD</w:t>
      </w:r>
    </w:p>
    <w:p w:rsidR="00AA35F5" w:rsidRDefault="00AA35F5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AA35F5" w:rsidRPr="00AA35F5" w:rsidRDefault="00AA35F5" w:rsidP="00AA35F5">
      <w:pPr>
        <w:widowControl w:val="0"/>
        <w:spacing w:after="120" w:line="360" w:lineRule="auto"/>
        <w:ind w:firstLine="567"/>
        <w:rPr>
          <w:rFonts w:eastAsia="Times New Roman"/>
          <w:i/>
          <w:snapToGrid w:val="0"/>
          <w:color w:val="000000"/>
          <w:sz w:val="24"/>
          <w:szCs w:val="24"/>
          <w:lang w:eastAsia="pt-BR"/>
        </w:rPr>
      </w:pPr>
      <w:bookmarkStart w:id="10" w:name="z947847_1303055_TEOR"/>
      <w:bookmarkEnd w:id="9"/>
      <w:r w:rsidRPr="00AA35F5">
        <w:rPr>
          <w:rFonts w:eastAsia="Times New Roman"/>
          <w:snapToGrid w:val="0"/>
          <w:color w:val="000000"/>
          <w:sz w:val="24"/>
          <w:szCs w:val="24"/>
          <w:lang w:eastAsia="pt-BR"/>
        </w:rPr>
        <w:lastRenderedPageBreak/>
        <w:t>O</w:t>
      </w:r>
      <w:r w:rsidRPr="00AA35F5">
        <w:rPr>
          <w:rFonts w:eastAsia="Times New Roman"/>
          <w:b/>
          <w:snapToGrid w:val="0"/>
          <w:color w:val="000000"/>
          <w:sz w:val="24"/>
          <w:szCs w:val="24"/>
          <w:lang w:eastAsia="pt-BR"/>
        </w:rPr>
        <w:t xml:space="preserve"> </w:t>
      </w:r>
      <w:r w:rsidRPr="00AA35F5">
        <w:rPr>
          <w:rFonts w:eastAsia="Times New Roman"/>
          <w:snapToGrid w:val="0"/>
          <w:color w:val="000000"/>
          <w:sz w:val="24"/>
          <w:szCs w:val="24"/>
          <w:lang w:eastAsia="pt-BR"/>
        </w:rPr>
        <w:t>Congresso Nacional</w:t>
      </w:r>
      <w:r w:rsidRPr="00AA35F5">
        <w:rPr>
          <w:rFonts w:eastAsia="Times New Roman"/>
          <w:b/>
          <w:snapToGrid w:val="0"/>
          <w:color w:val="000000"/>
          <w:sz w:val="24"/>
          <w:szCs w:val="24"/>
          <w:lang w:eastAsia="pt-BR"/>
        </w:rPr>
        <w:t xml:space="preserve"> </w:t>
      </w:r>
      <w:r w:rsidRPr="00AA35F5">
        <w:rPr>
          <w:rFonts w:eastAsia="Times New Roman"/>
          <w:snapToGrid w:val="0"/>
          <w:color w:val="000000"/>
          <w:sz w:val="24"/>
          <w:szCs w:val="24"/>
          <w:lang w:eastAsia="pt-BR"/>
        </w:rPr>
        <w:t>decreta:</w:t>
      </w:r>
    </w:p>
    <w:p w:rsidR="00AA35F5" w:rsidRPr="00AA35F5" w:rsidRDefault="00AA35F5" w:rsidP="00AA35F5">
      <w:pPr>
        <w:widowControl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napToGrid w:val="0"/>
          <w:color w:val="000000"/>
          <w:sz w:val="24"/>
          <w:szCs w:val="24"/>
          <w:lang w:eastAsia="pt-BR"/>
        </w:rPr>
        <w:t xml:space="preserve">Art. 1º </w:t>
      </w:r>
      <w:r w:rsidRPr="00AA35F5">
        <w:rPr>
          <w:rFonts w:eastAsia="Times New Roman"/>
          <w:sz w:val="24"/>
          <w:szCs w:val="24"/>
          <w:lang w:eastAsia="pt-BR"/>
        </w:rPr>
        <w:t>As ações voltadas às questões relativas à educação nutricional e segurança alimentar da população são um direito da população e</w:t>
      </w:r>
      <w:r w:rsidRPr="00AA35F5">
        <w:rPr>
          <w:rFonts w:eastAsia="Times New Roman"/>
          <w:i/>
          <w:snapToGrid w:val="0"/>
          <w:color w:val="000000"/>
          <w:sz w:val="24"/>
          <w:szCs w:val="24"/>
          <w:lang w:eastAsia="pt-BR"/>
        </w:rPr>
        <w:t xml:space="preserve"> </w:t>
      </w:r>
      <w:r w:rsidRPr="00AA35F5">
        <w:rPr>
          <w:rFonts w:eastAsia="Times New Roman"/>
          <w:sz w:val="24"/>
          <w:szCs w:val="24"/>
          <w:lang w:eastAsia="pt-BR"/>
        </w:rPr>
        <w:t>seguirão as diretrizes e os princípios desta Lei.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Art. 2º - Cumpre a Administração Federal programar, de forma intersetorial e articulada, ações voltadas à educação nutricional e segurança alimentar da população, conforme os seguintes princípios: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I – universalidade e isonomia de acesso e atendimento;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 xml:space="preserve">II – garantia da segurança e da qualidade dos produtos e serviços prestados; 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III – assistência científica e técnica com profissionais especializados em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nutrição;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IV – processo informativo e educativo nutricional junto à população;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Art. 3º - As ações previstas nesta lei tem por finalidade a promoção, manutenção e a recuperação da saúde e prevenção de doenças da população, visando à busca de soluções para necessidades nutricionais de cada pessoa, nas diferentes condições fisiológicas e patológicas.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Art. 4º - Dar-se-á atenção prioritária à população infanto-juvenil, às gestantes, lactantes e aos idosos portadores de doenças crônicas não transmissíveis.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Art. 5º - Para a conservação do disposto nesta Lei, os programas voltados à necessidade alimentar e nutricional devem adotar as seguintes diretrizes: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I – incentivar a alimentação e o estilo de vida saudável da população;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II – promover ações de prevenção de distúrbios nutricionais;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III – estimular ações intersetoriais que propiciem a captação, o abastecimento e o consumo de alimentos saudáveis;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IV – buscar induzir a mudança no comportamento alimentar do indivíduo e/ou da família através da educação em saúde, visando prevenir a incidência ou reduzir a prevalência da obesidade e de doenças crônicas não transmissíveis;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V – facilitar o acesso econômico aos alimentos nutricionalmente recomendados;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lastRenderedPageBreak/>
        <w:t>VI – buscar mecanismos de troca de informações entre o conhecimento científico e o popular;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VII – confeccionar material informativo e educativo para veiculação pelos meios de comunicação;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VIII – identificar as principais carências nutricionais da população;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IX – elaborar políticas voltadas à erradicação das carências e excessos alimentares;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X – capacitar o consumidor para a análise e interpretação dos rótulos dos produtos disponíveis para o consumo;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XI – incentivar a informação pela rede varejista, do valor nutricional dos alimentos;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XII – estimular o aleitamento materno e a manutenção dos bancos de leite;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XIII – incentivar a vigilância nutricional.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 xml:space="preserve">§1º Os Estados, Distrito Federal e Municípios poderão encaminhar ao Governo Federal os dados nutricionais da população sobre as ações e resultados obtidos com a aplicação dos programas referidos no </w:t>
      </w:r>
      <w:r w:rsidRPr="00AA35F5">
        <w:rPr>
          <w:rFonts w:eastAsia="Times New Roman"/>
          <w:i/>
          <w:sz w:val="24"/>
          <w:szCs w:val="24"/>
          <w:lang w:eastAsia="pt-BR"/>
        </w:rPr>
        <w:t>caput</w:t>
      </w:r>
      <w:r w:rsidRPr="00AA35F5">
        <w:rPr>
          <w:rFonts w:eastAsia="Times New Roman"/>
          <w:sz w:val="24"/>
          <w:szCs w:val="24"/>
          <w:lang w:eastAsia="pt-BR"/>
        </w:rPr>
        <w:t>.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§2º A Administração reunirá as informações disponíveis para diagnosticar a situação nutricional da população brasileira, com a finalidade de planejamento e avaliação das políticas públicas.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Art. 6º - O Ministério da Educação incluirá no parâmetro nacional de ensino, noções básicas de educação nutricional com abordagem interdisciplinar, atendendo aos seguintes objetivos: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I – desenvolvimento de hábitos alimentares saudáveis;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II – valorização da alimentação saudável desde a infância;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III - socialização do conhecimento sobre alimentos;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IV – prevenção de problemas nutricionais;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V – mobilização sobre a importância da alimentação e nutrição adequadas;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Art. 7º Os projetos voltados à questão educacional devem abordar dentre outros, os seguintes temas;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lastRenderedPageBreak/>
        <w:t>I – conhecimento e prática de alimentação saudável;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II – hortas comunitárias, alimentos orgânicos e transgênicos;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III – cozinha comunitária;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IV – planejamento de cantina escolar;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V – suplementação nutricional às gestantes e lactantes;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VI – captação, armazenamento e provisão de alimentos;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VII – cesta de alimentos;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VIII – banco de alimentos;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IX – desenvolvimento de estratégias pedagógicas em nutrição;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X - criação de material didático e pedagógico de nutrição;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XI - capacitação de professores e nutricionistas.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Art. 8º - Para a garantia da execução das ações previstas nesta Lei, a União efetuará a transferência de recursos financeiros aos Estados, Distrito Federal e Municípios, quando necessários para o seu fiel cumprimento.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Art. 9º - A capacitação de pessoal para o planejamento, coordenação e avaliação de ações deverá constituir a base para o desenvolvimento do processo contínuo de articulação com os demais setores.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Art. 10 - A Administração Pública poderá criar planos de alimentação e nutrição através de lei específica, que englobará as estratégias e prioridades locais, em consonância com os princípios e diretrizes desta Lei.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Art. 11º Esta Lei entrará em vigor no ato de sua publicação.</w:t>
      </w:r>
    </w:p>
    <w:p w:rsidR="00AA35F5" w:rsidRPr="00AA35F5" w:rsidRDefault="00AA35F5" w:rsidP="00AA35F5">
      <w:pPr>
        <w:tabs>
          <w:tab w:val="right" w:pos="8506"/>
        </w:tabs>
        <w:spacing w:after="120" w:line="276" w:lineRule="auto"/>
        <w:jc w:val="left"/>
        <w:rPr>
          <w:rFonts w:eastAsia="Times New Roman"/>
          <w:sz w:val="24"/>
          <w:szCs w:val="24"/>
          <w:lang w:eastAsia="pt-BR"/>
        </w:rPr>
      </w:pPr>
    </w:p>
    <w:p w:rsidR="00AA35F5" w:rsidRPr="00AA35F5" w:rsidRDefault="00AA35F5" w:rsidP="00AA35F5">
      <w:pPr>
        <w:tabs>
          <w:tab w:val="right" w:pos="8506"/>
        </w:tabs>
        <w:spacing w:after="120" w:line="276" w:lineRule="auto"/>
        <w:jc w:val="center"/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</w:pPr>
      <w:r w:rsidRPr="00AA35F5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JUSTIFICATIVA</w:t>
      </w:r>
    </w:p>
    <w:p w:rsidR="00AA35F5" w:rsidRPr="00AA35F5" w:rsidRDefault="00AA35F5" w:rsidP="00AA35F5">
      <w:pPr>
        <w:tabs>
          <w:tab w:val="right" w:pos="8506"/>
        </w:tabs>
        <w:spacing w:line="276" w:lineRule="auto"/>
        <w:rPr>
          <w:rFonts w:eastAsia="Times New Roman" w:cs="Times New Roman"/>
          <w:b/>
          <w:snapToGrid w:val="0"/>
          <w:color w:val="000000"/>
          <w:sz w:val="24"/>
          <w:szCs w:val="24"/>
          <w:lang w:eastAsia="pt-BR"/>
        </w:rPr>
      </w:pP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 xml:space="preserve">A adequada nutrição da população é elemento essencial na prevenção de doenças e no bem estar, relaciona-se diretamente com o padrão de alimentação, renda familiar, educação, saneamento básico e serviços de saúde. A deficiência desse estado torna o indivíduo suscetível a todo tipo de enfermidades e seus </w:t>
      </w:r>
      <w:r w:rsidRPr="00AA35F5">
        <w:rPr>
          <w:rFonts w:eastAsia="Times New Roman"/>
          <w:sz w:val="24"/>
          <w:szCs w:val="24"/>
          <w:lang w:eastAsia="pt-BR"/>
        </w:rPr>
        <w:lastRenderedPageBreak/>
        <w:t>aspectos secundários, tais como prejuízos à digestão, exacerbação do quadro de deficiência nutricional, hipovitaminoses, deficiência no crescimento e obesidade.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 xml:space="preserve">A desnutrição, que prevalece nas classes mais pobres, leva o Estado, enquanto árbitro da questão social, a intervenções públicas através de estratégias programáticas. Entretanto, grande parte dos programas de governo possuem caráter assistencialista, na medida em que, o conteúdo dessas intervenções são meramente paliativos ao problema. 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 xml:space="preserve">Há necessidade de se regulamentar princípios e diretrizes para nortear as ações voltadas às necessidades alimentares e nutricionais da população, com vistas a um resultado eficiente em longo prazo. 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A busca na melhoria do estado nutricional do indivíduo aponta a escola como a melhor opção de alcance massivo e de referência dentro da comunidade em que está inserido, principalmente no ensino fundamental, onde o indivíduo tem maior capacidade de aprendizado e de adquirir hábitos saudáveis.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Tradicionalmente, a abordagem sobre alimentação fica restrita às disciplinas de ciências e biologia. O modelo ora proposto para o ensino fundamental é a inserção da educação nutricional como tema ou inserida nas matérias curriculares convencionais, não como matéria autônoma, mas aprofundando as dimensões histórica, cultural, nacional e internacional do alimento, constituindo elemento fundamental na formação do cidadão.</w:t>
      </w:r>
    </w:p>
    <w:p w:rsidR="00AA35F5" w:rsidRPr="00AA35F5" w:rsidRDefault="00AA35F5" w:rsidP="00AA35F5">
      <w:pPr>
        <w:autoSpaceDE w:val="0"/>
        <w:autoSpaceDN w:val="0"/>
        <w:adjustRightInd w:val="0"/>
        <w:spacing w:after="120" w:line="360" w:lineRule="auto"/>
        <w:ind w:firstLine="567"/>
        <w:rPr>
          <w:rFonts w:eastAsia="Times New Roman"/>
          <w:sz w:val="24"/>
          <w:szCs w:val="24"/>
          <w:lang w:eastAsia="pt-BR"/>
        </w:rPr>
      </w:pPr>
      <w:r w:rsidRPr="00AA35F5">
        <w:rPr>
          <w:rFonts w:eastAsia="Times New Roman"/>
          <w:sz w:val="24"/>
          <w:szCs w:val="24"/>
          <w:lang w:eastAsia="pt-BR"/>
        </w:rPr>
        <w:t>Diante do exposto, conto com a colaboração dos nobres parlamentares para aprovar esta proposição e através da educação nutricional promover a saúde e a nutrição possibilitando o pleno exercício da cidadania.</w:t>
      </w:r>
    </w:p>
    <w:p w:rsidR="00AA35F5" w:rsidRPr="00AA35F5" w:rsidRDefault="00AA35F5" w:rsidP="00AA35F5">
      <w:pPr>
        <w:tabs>
          <w:tab w:val="right" w:pos="8506"/>
        </w:tabs>
        <w:spacing w:after="120" w:line="276" w:lineRule="auto"/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</w:pPr>
    </w:p>
    <w:p w:rsidR="00AA35F5" w:rsidRPr="00AA35F5" w:rsidRDefault="00AA35F5" w:rsidP="00AA35F5">
      <w:pPr>
        <w:keepNext/>
        <w:widowControl w:val="0"/>
        <w:spacing w:after="120" w:line="276" w:lineRule="auto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AA35F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Sala das Sessões, em</w:t>
      </w:r>
      <w:r w:rsidR="00F90FC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25 </w:t>
      </w:r>
      <w:r w:rsidRPr="00AA35F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</w:t>
      </w:r>
      <w:r w:rsidR="00F90FC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fevereiro </w:t>
      </w:r>
      <w:r w:rsidRPr="00AA35F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 2015.</w:t>
      </w:r>
    </w:p>
    <w:p w:rsidR="00AA35F5" w:rsidRPr="00AA35F5" w:rsidRDefault="00AA35F5" w:rsidP="00AA35F5">
      <w:pPr>
        <w:widowControl w:val="0"/>
        <w:spacing w:after="120" w:line="276" w:lineRule="auto"/>
        <w:jc w:val="center"/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</w:pPr>
    </w:p>
    <w:p w:rsidR="00AA35F5" w:rsidRPr="00AA35F5" w:rsidRDefault="00AA35F5" w:rsidP="00AA35F5">
      <w:pPr>
        <w:widowControl w:val="0"/>
        <w:spacing w:after="120" w:line="276" w:lineRule="auto"/>
        <w:jc w:val="center"/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</w:pPr>
      <w:r w:rsidRPr="00AA35F5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Deputado FELIPE BORNIER</w:t>
      </w:r>
    </w:p>
    <w:p w:rsidR="00AA35F5" w:rsidRDefault="00AA35F5" w:rsidP="00F90FC6">
      <w:pPr>
        <w:widowControl w:val="0"/>
        <w:spacing w:after="120" w:line="276" w:lineRule="auto"/>
        <w:jc w:val="center"/>
        <w:rPr>
          <w:sz w:val="24"/>
        </w:rPr>
      </w:pPr>
      <w:r w:rsidRPr="00AA35F5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PSD/RJ</w:t>
      </w:r>
    </w:p>
    <w:p w:rsidR="00AA35F5" w:rsidRDefault="00AA35F5" w:rsidP="00AA35F5">
      <w:pPr>
        <w:rPr>
          <w:sz w:val="24"/>
        </w:rPr>
      </w:pPr>
      <w:bookmarkStart w:id="11" w:name="z947847_FIMDOCUMENTO"/>
      <w:bookmarkEnd w:id="10"/>
      <w:bookmarkEnd w:id="1"/>
    </w:p>
    <w:p w:rsidR="00AA35F5" w:rsidRPr="00AA35F5" w:rsidRDefault="00AA35F5" w:rsidP="00AA35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AA35F5" w:rsidRPr="00AA35F5" w:rsidSect="00AA35F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5F5" w:rsidRDefault="00AA35F5" w:rsidP="00AA35F5">
      <w:r>
        <w:separator/>
      </w:r>
    </w:p>
  </w:endnote>
  <w:endnote w:type="continuationSeparator" w:id="0">
    <w:p w:rsidR="00AA35F5" w:rsidRDefault="00AA35F5" w:rsidP="00AA3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5F5" w:rsidRDefault="00AA35F5" w:rsidP="00AA35F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A35F5" w:rsidRDefault="00AA35F5" w:rsidP="00AA35F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A35F5" w:rsidRPr="00AA35F5" w:rsidRDefault="00AA35F5" w:rsidP="00AA35F5">
    <w:pPr>
      <w:pStyle w:val="Rodap"/>
      <w:jc w:val="center"/>
    </w:pPr>
    <w:r>
      <w:t>PL 438/2015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5F5" w:rsidRDefault="00AA35F5" w:rsidP="00AA35F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A35F5" w:rsidRDefault="00AA35F5" w:rsidP="00AA35F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A35F5" w:rsidRPr="00AA35F5" w:rsidRDefault="00AA35F5" w:rsidP="00AA35F5">
    <w:pPr>
      <w:pStyle w:val="Rodap"/>
      <w:jc w:val="center"/>
    </w:pPr>
    <w:r>
      <w:t>PL 438/2015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5F5" w:rsidRDefault="00AA35F5" w:rsidP="00AA35F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A35F5" w:rsidRPr="00AA35F5" w:rsidRDefault="00AA35F5" w:rsidP="00AA35F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5F5" w:rsidRDefault="00AA35F5" w:rsidP="00AA35F5">
      <w:r>
        <w:separator/>
      </w:r>
    </w:p>
  </w:footnote>
  <w:footnote w:type="continuationSeparator" w:id="0">
    <w:p w:rsidR="00AA35F5" w:rsidRDefault="00AA35F5" w:rsidP="00AA35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5F5" w:rsidRPr="00AA35F5" w:rsidRDefault="00AA35F5" w:rsidP="00AA35F5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55E3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5F5" w:rsidRPr="00AA35F5" w:rsidRDefault="00AA35F5" w:rsidP="00AA35F5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55E3E"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5F5"/>
    <w:rsid w:val="00055E3E"/>
    <w:rsid w:val="009575C4"/>
    <w:rsid w:val="00AA35F5"/>
    <w:rsid w:val="00AD595A"/>
    <w:rsid w:val="00F90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A35F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35F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A35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35F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A35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A35F5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A35F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35F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A35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35F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A35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A35F5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1016</Words>
  <Characters>6031</Characters>
  <Application>Microsoft Office Word</Application>
  <DocSecurity>0</DocSecurity>
  <Lines>137</Lines>
  <Paragraphs>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dos Deputados</dc:creator>
  <cp:keywords/>
  <dc:description/>
  <cp:lastModifiedBy>Câmara dos Deputados</cp:lastModifiedBy>
  <cp:revision>3</cp:revision>
  <cp:lastPrinted>2015-03-09T21:04:00Z</cp:lastPrinted>
  <dcterms:created xsi:type="dcterms:W3CDTF">2015-03-10T17:43:00Z</dcterms:created>
  <dcterms:modified xsi:type="dcterms:W3CDTF">2015-03-10T22:46:00Z</dcterms:modified>
</cp:coreProperties>
</file>