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6021" w:rsidRDefault="00C05099" w:rsidP="00154911">
      <w:pPr>
        <w:jc w:val="center"/>
      </w:pPr>
      <w:bookmarkStart w:id="0" w:name="z949025_BRASAO"/>
      <w:bookmarkStart w:id="1" w:name="z94902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C05099" w:rsidRPr="00C05099" w:rsidRDefault="00C05099">
                            <w:pPr>
                              <w:rPr>
                                <w:rFonts w:ascii="Times New Roman" w:hAnsi="Times New Roman" w:cs="Times New Roman"/>
                                <w:sz w:val="34"/>
                              </w:rPr>
                            </w:pPr>
                            <w:r w:rsidRPr="00C05099">
                              <w:rPr>
                                <w:rFonts w:ascii="3 of 9 Barcode" w:hAnsi="3 of 9 Barcode"/>
                                <w:sz w:val="34"/>
                              </w:rPr>
                              <w:t>*C0051486A*</w:t>
                            </w:r>
                            <w:bookmarkStart w:id="2" w:name="_GoBack"/>
                          </w:p>
                          <w:bookmarkEnd w:id="2"/>
                          <w:p w:rsidR="00C05099" w:rsidRPr="00C05099" w:rsidRDefault="00C05099">
                            <w:pPr>
                              <w:rPr>
                                <w:rFonts w:ascii="Times New Roman" w:hAnsi="Times New Roman" w:cs="Times New Roman"/>
                              </w:rPr>
                            </w:pPr>
                            <w:r>
                              <w:rPr>
                                <w:rFonts w:ascii="Times New Roman" w:hAnsi="Times New Roman" w:cs="Times New Roman"/>
                              </w:rPr>
                              <w:t>C0051486A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C05099" w:rsidRPr="00C05099" w:rsidRDefault="00C05099">
                      <w:pPr>
                        <w:rPr>
                          <w:rFonts w:ascii="Times New Roman" w:hAnsi="Times New Roman" w:cs="Times New Roman"/>
                          <w:sz w:val="34"/>
                        </w:rPr>
                      </w:pPr>
                      <w:r w:rsidRPr="00C05099">
                        <w:rPr>
                          <w:rFonts w:ascii="3 of 9 Barcode" w:hAnsi="3 of 9 Barcode"/>
                          <w:sz w:val="34"/>
                        </w:rPr>
                        <w:t>*C0051486A*</w:t>
                      </w:r>
                      <w:bookmarkStart w:id="3" w:name="_GoBack"/>
                    </w:p>
                    <w:bookmarkEnd w:id="3"/>
                    <w:p w:rsidR="00C05099" w:rsidRPr="00C05099" w:rsidRDefault="00C05099">
                      <w:pPr>
                        <w:rPr>
                          <w:rFonts w:ascii="Times New Roman" w:hAnsi="Times New Roman" w:cs="Times New Roman"/>
                        </w:rPr>
                      </w:pPr>
                      <w:r>
                        <w:rPr>
                          <w:rFonts w:ascii="Times New Roman" w:hAnsi="Times New Roman" w:cs="Times New Roman"/>
                        </w:rPr>
                        <w:t>C0051486A</w:t>
                      </w:r>
                    </w:p>
                  </w:txbxContent>
                </v:textbox>
                <w10:wrap anchorx="page" anchory="page"/>
              </v:shape>
            </w:pict>
          </mc:Fallback>
        </mc:AlternateContent>
      </w:r>
      <w:r w:rsidR="00154911">
        <w:rPr>
          <w:noProof/>
          <w:lang w:eastAsia="pt-BR"/>
        </w:rPr>
        <w:drawing>
          <wp:inline distT="0" distB="0" distL="0" distR="0" wp14:anchorId="14F59212" wp14:editId="2BF18419">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154911" w:rsidRDefault="00154911" w:rsidP="00154911">
      <w:pPr>
        <w:jc w:val="center"/>
        <w:rPr>
          <w:b/>
          <w:sz w:val="24"/>
        </w:rPr>
      </w:pPr>
      <w:r>
        <w:rPr>
          <w:b/>
          <w:sz w:val="24"/>
        </w:rPr>
        <w:t>CÂMARA DOS DEPUTADOS</w:t>
      </w:r>
    </w:p>
    <w:bookmarkEnd w:id="0"/>
    <w:p w:rsidR="00154911" w:rsidRDefault="00154911" w:rsidP="00154911">
      <w:pPr>
        <w:rPr>
          <w:sz w:val="24"/>
        </w:rPr>
      </w:pPr>
    </w:p>
    <w:p w:rsidR="00154911" w:rsidRDefault="00154911" w:rsidP="00154911">
      <w:pPr>
        <w:keepNext/>
        <w:keepLines/>
        <w:jc w:val="center"/>
        <w:rPr>
          <w:b/>
          <w:sz w:val="44"/>
        </w:rPr>
      </w:pPr>
      <w:bookmarkStart w:id="4" w:name="z949025_TITULO"/>
      <w:r>
        <w:rPr>
          <w:b/>
          <w:sz w:val="44"/>
        </w:rPr>
        <w:t>PROJETO DE LEI COMPLEMENTAR N.º 15, DE 2015</w:t>
      </w:r>
      <w:bookmarkEnd w:id="4"/>
    </w:p>
    <w:p w:rsidR="00154911" w:rsidRDefault="00154911" w:rsidP="00154911">
      <w:pPr>
        <w:keepLines/>
        <w:jc w:val="center"/>
        <w:rPr>
          <w:b/>
          <w:sz w:val="28"/>
        </w:rPr>
      </w:pPr>
      <w:bookmarkStart w:id="5" w:name="z949025_AUTOR"/>
      <w:r>
        <w:rPr>
          <w:b/>
          <w:sz w:val="28"/>
        </w:rPr>
        <w:t>(Do Sr. Alceu Moreira)</w:t>
      </w:r>
      <w:bookmarkEnd w:id="5"/>
    </w:p>
    <w:p w:rsidR="00154911" w:rsidRDefault="00154911" w:rsidP="00154911">
      <w:pPr>
        <w:keepLines/>
        <w:jc w:val="center"/>
        <w:rPr>
          <w:b/>
          <w:sz w:val="28"/>
        </w:rPr>
      </w:pPr>
    </w:p>
    <w:p w:rsidR="00154911" w:rsidRDefault="00154911" w:rsidP="00154911">
      <w:pPr>
        <w:rPr>
          <w:sz w:val="28"/>
        </w:rPr>
      </w:pPr>
      <w:bookmarkStart w:id="6" w:name="z949025_EMENTA"/>
      <w:r>
        <w:rPr>
          <w:sz w:val="28"/>
        </w:rPr>
        <w:t>Altera a Lei Complementar no 101, de 4 de maio de 2000.</w:t>
      </w:r>
      <w:bookmarkEnd w:id="6"/>
    </w:p>
    <w:p w:rsidR="00154911" w:rsidRDefault="00154911" w:rsidP="00154911">
      <w:pPr>
        <w:rPr>
          <w:sz w:val="28"/>
        </w:rPr>
      </w:pPr>
    </w:p>
    <w:p w:rsidR="00154911" w:rsidRDefault="00154911" w:rsidP="00154911">
      <w:pPr>
        <w:pBdr>
          <w:top w:val="single" w:sz="4" w:space="1" w:color="auto"/>
          <w:left w:val="single" w:sz="4" w:space="4" w:color="auto"/>
          <w:bottom w:val="single" w:sz="4" w:space="1" w:color="auto"/>
          <w:right w:val="single" w:sz="4" w:space="4" w:color="auto"/>
        </w:pBdr>
        <w:rPr>
          <w:b/>
          <w:sz w:val="28"/>
        </w:rPr>
      </w:pPr>
      <w:bookmarkStart w:id="7" w:name="z949025_DESPACHO"/>
    </w:p>
    <w:p w:rsidR="00154911" w:rsidRDefault="00154911" w:rsidP="00154911">
      <w:pPr>
        <w:pBdr>
          <w:top w:val="single" w:sz="4" w:space="1" w:color="auto"/>
          <w:left w:val="single" w:sz="4" w:space="4" w:color="auto"/>
          <w:bottom w:val="single" w:sz="4" w:space="1" w:color="auto"/>
          <w:right w:val="single" w:sz="4" w:space="4" w:color="auto"/>
        </w:pBdr>
        <w:rPr>
          <w:b/>
          <w:sz w:val="28"/>
        </w:rPr>
      </w:pPr>
      <w:r>
        <w:rPr>
          <w:b/>
          <w:sz w:val="28"/>
        </w:rPr>
        <w:t>DESPACHO:</w:t>
      </w:r>
    </w:p>
    <w:p w:rsidR="00154911" w:rsidRDefault="00154911" w:rsidP="00154911">
      <w:pPr>
        <w:pBdr>
          <w:top w:val="single" w:sz="4" w:space="1" w:color="auto"/>
          <w:left w:val="single" w:sz="4" w:space="4" w:color="auto"/>
          <w:bottom w:val="single" w:sz="4" w:space="1" w:color="auto"/>
          <w:right w:val="single" w:sz="4" w:space="4" w:color="auto"/>
        </w:pBdr>
        <w:rPr>
          <w:sz w:val="28"/>
        </w:rPr>
      </w:pPr>
      <w:r>
        <w:rPr>
          <w:sz w:val="28"/>
        </w:rPr>
        <w:t xml:space="preserve">APENSE-SE À(AO) PLP-463/2009. </w:t>
      </w:r>
    </w:p>
    <w:p w:rsidR="00154911" w:rsidRDefault="00154911" w:rsidP="00154911">
      <w:pPr>
        <w:pBdr>
          <w:top w:val="single" w:sz="4" w:space="1" w:color="auto"/>
          <w:left w:val="single" w:sz="4" w:space="4" w:color="auto"/>
          <w:bottom w:val="single" w:sz="4" w:space="1" w:color="auto"/>
          <w:right w:val="single" w:sz="4" w:space="4" w:color="auto"/>
        </w:pBdr>
        <w:rPr>
          <w:sz w:val="28"/>
        </w:rPr>
      </w:pPr>
    </w:p>
    <w:p w:rsidR="00154911" w:rsidRDefault="00154911" w:rsidP="00154911">
      <w:pPr>
        <w:pBdr>
          <w:top w:val="single" w:sz="4" w:space="1" w:color="auto"/>
          <w:left w:val="single" w:sz="4" w:space="4" w:color="auto"/>
          <w:bottom w:val="single" w:sz="4" w:space="1" w:color="auto"/>
          <w:right w:val="single" w:sz="4" w:space="4" w:color="auto"/>
        </w:pBdr>
        <w:rPr>
          <w:b/>
          <w:sz w:val="28"/>
        </w:rPr>
      </w:pPr>
      <w:bookmarkStart w:id="8" w:name="z949025_APRECIACAO"/>
      <w:bookmarkEnd w:id="7"/>
      <w:r>
        <w:rPr>
          <w:b/>
          <w:sz w:val="28"/>
        </w:rPr>
        <w:t>APRECIAÇÃO:</w:t>
      </w:r>
    </w:p>
    <w:p w:rsidR="00154911" w:rsidRDefault="00154911" w:rsidP="00154911">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154911" w:rsidRDefault="00154911" w:rsidP="00154911">
      <w:pPr>
        <w:pBdr>
          <w:top w:val="single" w:sz="4" w:space="1" w:color="auto"/>
          <w:left w:val="single" w:sz="4" w:space="4" w:color="auto"/>
          <w:bottom w:val="single" w:sz="4" w:space="1" w:color="auto"/>
          <w:right w:val="single" w:sz="4" w:space="4" w:color="auto"/>
        </w:pBdr>
        <w:rPr>
          <w:sz w:val="28"/>
        </w:rPr>
      </w:pPr>
    </w:p>
    <w:bookmarkEnd w:id="8"/>
    <w:p w:rsidR="00154911" w:rsidRDefault="00154911" w:rsidP="00154911">
      <w:pPr>
        <w:rPr>
          <w:sz w:val="28"/>
        </w:rPr>
      </w:pPr>
    </w:p>
    <w:p w:rsidR="00154911" w:rsidRDefault="00154911" w:rsidP="00154911">
      <w:pPr>
        <w:jc w:val="center"/>
        <w:rPr>
          <w:b/>
          <w:sz w:val="28"/>
        </w:rPr>
      </w:pPr>
      <w:bookmarkStart w:id="9" w:name="z949025_PUBINICIAL"/>
      <w:r>
        <w:rPr>
          <w:b/>
          <w:sz w:val="28"/>
        </w:rPr>
        <w:t>PUBLICAÇÃO INICIAL</w:t>
      </w:r>
    </w:p>
    <w:p w:rsidR="00154911" w:rsidRDefault="00154911" w:rsidP="00154911">
      <w:pPr>
        <w:jc w:val="center"/>
        <w:rPr>
          <w:b/>
        </w:rPr>
      </w:pPr>
      <w:r>
        <w:rPr>
          <w:b/>
        </w:rPr>
        <w:t>Art. 137, caput - RICD</w:t>
      </w:r>
    </w:p>
    <w:p w:rsidR="00154911" w:rsidRDefault="00154911">
      <w:pPr>
        <w:spacing w:after="200" w:line="276" w:lineRule="auto"/>
        <w:jc w:val="left"/>
        <w:rPr>
          <w:b/>
        </w:rPr>
      </w:pPr>
      <w:r>
        <w:rPr>
          <w:b/>
        </w:rPr>
        <w:br w:type="page"/>
      </w:r>
    </w:p>
    <w:p w:rsidR="00154911" w:rsidRPr="00154911" w:rsidRDefault="00154911" w:rsidP="00154911">
      <w:pPr>
        <w:widowControl w:val="0"/>
        <w:spacing w:after="600" w:line="360" w:lineRule="exact"/>
        <w:ind w:firstLine="2302"/>
        <w:rPr>
          <w:rFonts w:eastAsia="Times New Roman" w:cs="Times New Roman"/>
          <w:snapToGrid w:val="0"/>
          <w:color w:val="000000"/>
          <w:sz w:val="24"/>
          <w:szCs w:val="20"/>
          <w:lang w:eastAsia="pt-BR"/>
        </w:rPr>
      </w:pPr>
      <w:bookmarkStart w:id="10" w:name="z949025_1303334_TEOR"/>
      <w:bookmarkEnd w:id="9"/>
      <w:r w:rsidRPr="00154911">
        <w:rPr>
          <w:rFonts w:eastAsia="Times New Roman" w:cs="Times New Roman"/>
          <w:snapToGrid w:val="0"/>
          <w:color w:val="000000"/>
          <w:sz w:val="24"/>
          <w:szCs w:val="20"/>
          <w:lang w:eastAsia="pt-BR"/>
        </w:rPr>
        <w:lastRenderedPageBreak/>
        <w:t>O</w:t>
      </w:r>
      <w:r w:rsidRPr="00154911">
        <w:rPr>
          <w:rFonts w:eastAsia="Times New Roman" w:cs="Times New Roman"/>
          <w:b/>
          <w:snapToGrid w:val="0"/>
          <w:color w:val="000000"/>
          <w:sz w:val="24"/>
          <w:szCs w:val="20"/>
          <w:lang w:eastAsia="pt-BR"/>
        </w:rPr>
        <w:t xml:space="preserve"> </w:t>
      </w:r>
      <w:r w:rsidRPr="00154911">
        <w:rPr>
          <w:rFonts w:eastAsia="Times New Roman" w:cs="Times New Roman"/>
          <w:snapToGrid w:val="0"/>
          <w:color w:val="000000"/>
          <w:sz w:val="24"/>
          <w:szCs w:val="20"/>
          <w:lang w:eastAsia="pt-BR"/>
        </w:rPr>
        <w:t>Congresso Nacional</w:t>
      </w:r>
      <w:r w:rsidRPr="00154911">
        <w:rPr>
          <w:rFonts w:eastAsia="Times New Roman" w:cs="Times New Roman"/>
          <w:b/>
          <w:snapToGrid w:val="0"/>
          <w:color w:val="000000"/>
          <w:sz w:val="24"/>
          <w:szCs w:val="20"/>
          <w:lang w:eastAsia="pt-BR"/>
        </w:rPr>
        <w:t xml:space="preserve"> </w:t>
      </w:r>
      <w:r w:rsidRPr="00154911">
        <w:rPr>
          <w:rFonts w:eastAsia="Times New Roman" w:cs="Times New Roman"/>
          <w:snapToGrid w:val="0"/>
          <w:color w:val="000000"/>
          <w:sz w:val="24"/>
          <w:szCs w:val="20"/>
          <w:lang w:eastAsia="pt-BR"/>
        </w:rPr>
        <w:t>decreta:</w:t>
      </w:r>
    </w:p>
    <w:p w:rsidR="00154911" w:rsidRPr="00154911" w:rsidRDefault="00154911" w:rsidP="00154911">
      <w:pPr>
        <w:spacing w:after="200" w:line="360" w:lineRule="exact"/>
        <w:ind w:firstLine="2302"/>
        <w:rPr>
          <w:rFonts w:eastAsia="Times New Roman"/>
          <w:snapToGrid w:val="0"/>
          <w:color w:val="000000"/>
          <w:sz w:val="24"/>
          <w:szCs w:val="20"/>
          <w:lang w:eastAsia="pt-BR"/>
        </w:rPr>
      </w:pPr>
      <w:r w:rsidRPr="00154911">
        <w:rPr>
          <w:rFonts w:eastAsia="Times New Roman" w:cs="Times New Roman"/>
          <w:snapToGrid w:val="0"/>
          <w:color w:val="000000"/>
          <w:sz w:val="24"/>
          <w:szCs w:val="20"/>
          <w:lang w:eastAsia="pt-BR"/>
        </w:rPr>
        <w:t>Art</w:t>
      </w:r>
      <w:r w:rsidRPr="00154911">
        <w:rPr>
          <w:rFonts w:eastAsia="Times New Roman"/>
          <w:snapToGrid w:val="0"/>
          <w:color w:val="000000"/>
          <w:sz w:val="24"/>
          <w:szCs w:val="20"/>
          <w:lang w:eastAsia="pt-BR"/>
        </w:rPr>
        <w:t>. 1º. O art. 14 da Lei Complementar n</w:t>
      </w:r>
      <w:r w:rsidRPr="00154911">
        <w:rPr>
          <w:rFonts w:eastAsia="Times New Roman"/>
          <w:snapToGrid w:val="0"/>
          <w:color w:val="000000"/>
          <w:sz w:val="24"/>
          <w:szCs w:val="20"/>
          <w:u w:val="single"/>
          <w:vertAlign w:val="superscript"/>
          <w:lang w:eastAsia="pt-BR"/>
        </w:rPr>
        <w:t>o</w:t>
      </w:r>
      <w:r w:rsidRPr="00154911">
        <w:rPr>
          <w:rFonts w:eastAsia="Times New Roman"/>
          <w:snapToGrid w:val="0"/>
          <w:color w:val="000000"/>
          <w:sz w:val="24"/>
          <w:szCs w:val="20"/>
          <w:lang w:eastAsia="pt-BR"/>
        </w:rPr>
        <w:t xml:space="preserve"> 101, de 4 de maio de 2000, passa a vigorar com as seguintes alterações:</w:t>
      </w:r>
    </w:p>
    <w:p w:rsidR="00154911" w:rsidRPr="00154911" w:rsidRDefault="00154911" w:rsidP="00154911">
      <w:pPr>
        <w:widowControl w:val="0"/>
        <w:spacing w:after="100" w:line="280" w:lineRule="exact"/>
        <w:ind w:left="2302" w:firstLine="567"/>
        <w:rPr>
          <w:rFonts w:eastAsia="Times New Roman" w:cs="Times New Roman"/>
          <w:i/>
          <w:snapToGrid w:val="0"/>
          <w:color w:val="000000"/>
          <w:sz w:val="24"/>
          <w:szCs w:val="20"/>
          <w:lang w:eastAsia="pt-BR"/>
        </w:rPr>
      </w:pPr>
      <w:r w:rsidRPr="00154911">
        <w:rPr>
          <w:rFonts w:eastAsia="Times New Roman" w:cs="Times New Roman"/>
          <w:i/>
          <w:snapToGrid w:val="0"/>
          <w:color w:val="000000"/>
          <w:sz w:val="24"/>
          <w:szCs w:val="20"/>
          <w:lang w:eastAsia="pt-BR"/>
        </w:rPr>
        <w:t>“Art. 14 ..........................................................</w:t>
      </w:r>
    </w:p>
    <w:p w:rsidR="00154911" w:rsidRPr="00154911" w:rsidRDefault="00154911" w:rsidP="00154911">
      <w:pPr>
        <w:widowControl w:val="0"/>
        <w:spacing w:after="100" w:line="280" w:lineRule="exact"/>
        <w:ind w:left="2302" w:firstLine="567"/>
        <w:rPr>
          <w:rFonts w:eastAsia="Times New Roman" w:cs="Times New Roman"/>
          <w:i/>
          <w:snapToGrid w:val="0"/>
          <w:color w:val="000000"/>
          <w:sz w:val="24"/>
          <w:szCs w:val="20"/>
          <w:lang w:eastAsia="pt-BR"/>
        </w:rPr>
      </w:pPr>
      <w:r w:rsidRPr="00154911">
        <w:rPr>
          <w:rFonts w:eastAsia="Times New Roman" w:cs="Times New Roman"/>
          <w:i/>
          <w:snapToGrid w:val="0"/>
          <w:color w:val="000000"/>
          <w:sz w:val="24"/>
          <w:szCs w:val="20"/>
          <w:lang w:eastAsia="pt-BR"/>
        </w:rPr>
        <w:t>“§ 4º - Quando a renúncia de receita envolver tributos cujo produto da arrecadação é partilhado com demais entes federativos diretamente ou mediante fundos constitucionais, além das exigências constantes no caput deste artigo, deverá ser realizado estudo de impacto financeiro da renúncia de receita sobre os montantes a serem repassados no exercício em que deva iniciar sua vigência e nos dois seguintes, comparando-os com os montantes repassados nos últimos doze meses, atualizados monetariamente pela projeção de inflação para o mesmo período.</w:t>
      </w:r>
    </w:p>
    <w:p w:rsidR="00154911" w:rsidRPr="00154911" w:rsidRDefault="00154911" w:rsidP="00154911">
      <w:pPr>
        <w:widowControl w:val="0"/>
        <w:spacing w:after="100" w:line="280" w:lineRule="exact"/>
        <w:ind w:left="2302" w:firstLine="567"/>
        <w:rPr>
          <w:rFonts w:eastAsia="Times New Roman" w:cs="Times New Roman"/>
          <w:i/>
          <w:snapToGrid w:val="0"/>
          <w:color w:val="000000"/>
          <w:sz w:val="24"/>
          <w:szCs w:val="20"/>
          <w:lang w:eastAsia="pt-BR"/>
        </w:rPr>
      </w:pPr>
      <w:r w:rsidRPr="00154911">
        <w:rPr>
          <w:rFonts w:eastAsia="Times New Roman" w:cs="Times New Roman"/>
          <w:i/>
          <w:snapToGrid w:val="0"/>
          <w:color w:val="000000"/>
          <w:sz w:val="24"/>
          <w:szCs w:val="20"/>
          <w:lang w:eastAsia="pt-BR"/>
        </w:rPr>
        <w:t>§ 5º - Caso o estudo mencionado no §4º apure perda real de arrecadação para ente federativo ou para fundo constitucional recebedor, o ente federativo que arrecadar o tributo deverá oferecer compensação financeira em montante igual à perda estimada pelo estudo aos entes federativos ou aos fundos constitucionais prejudicados, no período em que vigorar a renúncia de receita.” (NR).</w:t>
      </w:r>
    </w:p>
    <w:p w:rsidR="00154911" w:rsidRPr="00154911" w:rsidRDefault="00154911" w:rsidP="00154911">
      <w:pPr>
        <w:spacing w:after="200" w:line="360" w:lineRule="exact"/>
        <w:ind w:left="1418" w:firstLine="850"/>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 xml:space="preserve">Art. 2º. Esta lei entra em vigor na data de sua publicação. </w:t>
      </w:r>
    </w:p>
    <w:p w:rsidR="00154911" w:rsidRPr="00C07789" w:rsidRDefault="00154911" w:rsidP="00C07789">
      <w:pPr>
        <w:keepNext/>
        <w:spacing w:before="200" w:after="200" w:line="360" w:lineRule="exact"/>
        <w:jc w:val="center"/>
        <w:outlineLvl w:val="2"/>
        <w:rPr>
          <w:rFonts w:eastAsia="Times New Roman" w:cs="Times New Roman"/>
          <w:b/>
          <w:snapToGrid w:val="0"/>
          <w:sz w:val="24"/>
          <w:szCs w:val="20"/>
          <w:lang w:eastAsia="pt-BR"/>
        </w:rPr>
      </w:pPr>
      <w:r w:rsidRPr="00C07789">
        <w:rPr>
          <w:rFonts w:eastAsia="Times New Roman" w:cs="Times New Roman"/>
          <w:b/>
          <w:snapToGrid w:val="0"/>
          <w:sz w:val="24"/>
          <w:szCs w:val="20"/>
          <w:lang w:eastAsia="pt-BR"/>
        </w:rPr>
        <w:t>JUSTIFICAÇÃO</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O projeto de lei complementar (PLP) supracitado tem como objetivo estabelecer, na Lei Complementar nº 101/2000 (Lei de Responsabilidade Fiscal – LRF), um mecanismo de proteção quanto aos efeitos das desonerações concedidas por entes federativos que arrecadam tributos cujo produto da arrecadação deve ser partilhado com outros entes, de forma direta (conforme previsto nos arts. 157 e 158 da Constituição Federal), ou por meio de fundos constitucionais na forma do art. 159 da Constituição Federal.</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 xml:space="preserve">Para contextualizar, a Constituição Federal, em seu art. 159, inciso I, dispõe que, do produto da arrecadação do imposto sobre renda e proventos de qualquer natureza (IR) e do imposto sobre produtos industrializados (IPI), a União entregará 21,5% ao FPE e 24,5% ao FPM (sendo 1% em julho, e 1% em dezembro de cada ano). Contudo, quando a União concede isenções sobre os impostos supracitados, em especial o IPI (imposto que possui o caráter de seletividade, ou seja, possui alíquotas diferenciadas a depender do tipo do produto, normalmente tendo alíquotas menores para produtos essenciais, e maiores para os supérfluos, e </w:t>
      </w:r>
      <w:r w:rsidRPr="00154911">
        <w:rPr>
          <w:rFonts w:eastAsia="Times New Roman" w:cs="Times New Roman"/>
          <w:snapToGrid w:val="0"/>
          <w:color w:val="000000"/>
          <w:sz w:val="24"/>
          <w:szCs w:val="20"/>
          <w:lang w:eastAsia="pt-BR"/>
        </w:rPr>
        <w:lastRenderedPageBreak/>
        <w:t>que costumeiramente é utilizado pela União com finalidade extrafiscal), isso pode impactar o montante global arrecadado, afetando proporcionalmente os valores que serão repassados ao FPE e FPM, o que pode diminuir os valores a serem distribuídos aos Estados e Municípios.</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É possível verificar a interferência dessas isenções nas receitas reais dos Estados e dos Municípios ao longo dos exercícios 2012 e 2013, em comparação com o exercício 2011. Ao efetuar a atualização monetária do montante arrecadado do FPE e do FPM nesses exercícios, para dezembro/2014, considerando o Índice de Preços ao Consumidor Amplo (IPCA), observa-se que as recorrentes desonerações da União quanto ao IPI de veículos e bens duráveis contribuíram para uma perda de arrecadação real de 2,42% em 2012, e 0,92% em 2013, em comparação com o exercício de 2011, conforme a tabela a seguir:</w:t>
      </w:r>
    </w:p>
    <w:p w:rsidR="00154911" w:rsidRPr="00154911" w:rsidRDefault="00154911" w:rsidP="00154911">
      <w:pPr>
        <w:jc w:val="left"/>
        <w:rPr>
          <w:rFonts w:eastAsia="Times New Roman" w:cs="Times New Roman"/>
          <w:snapToGrid w:val="0"/>
          <w:color w:val="000000"/>
          <w:sz w:val="24"/>
          <w:szCs w:val="20"/>
          <w:lang w:eastAsia="pt-BR"/>
        </w:rPr>
      </w:pPr>
    </w:p>
    <w:tbl>
      <w:tblPr>
        <w:tblW w:w="8379" w:type="dxa"/>
        <w:tblInd w:w="55" w:type="dxa"/>
        <w:tblCellMar>
          <w:left w:w="70" w:type="dxa"/>
          <w:right w:w="70" w:type="dxa"/>
        </w:tblCellMar>
        <w:tblLook w:val="04A0" w:firstRow="1" w:lastRow="0" w:firstColumn="1" w:lastColumn="0" w:noHBand="0" w:noVBand="1"/>
      </w:tblPr>
      <w:tblGrid>
        <w:gridCol w:w="2142"/>
        <w:gridCol w:w="1275"/>
        <w:gridCol w:w="1134"/>
        <w:gridCol w:w="142"/>
        <w:gridCol w:w="1134"/>
        <w:gridCol w:w="142"/>
        <w:gridCol w:w="1009"/>
        <w:gridCol w:w="267"/>
        <w:gridCol w:w="1134"/>
      </w:tblGrid>
      <w:tr w:rsidR="00154911" w:rsidRPr="00154911" w:rsidTr="00604DD0">
        <w:trPr>
          <w:trHeight w:val="300"/>
        </w:trPr>
        <w:tc>
          <w:tcPr>
            <w:tcW w:w="3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r w:rsidRPr="00154911">
              <w:rPr>
                <w:rFonts w:eastAsia="Times New Roman"/>
                <w:b/>
                <w:bCs/>
                <w:color w:val="000000"/>
                <w:sz w:val="22"/>
                <w:lang w:eastAsia="pt-BR"/>
              </w:rPr>
              <w:t>Arrecadação FPE e FPM (em R$ milhões)</w:t>
            </w:r>
            <w:r w:rsidRPr="00154911">
              <w:rPr>
                <w:rFonts w:eastAsia="Times New Roman"/>
                <w:color w:val="000000"/>
                <w:sz w:val="22"/>
                <w:lang w:eastAsia="pt-BR"/>
              </w:rPr>
              <w:t> </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2011</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2012</w:t>
            </w:r>
          </w:p>
        </w:tc>
        <w:tc>
          <w:tcPr>
            <w:tcW w:w="1276" w:type="dxa"/>
            <w:gridSpan w:val="2"/>
            <w:tcBorders>
              <w:top w:val="single" w:sz="4" w:space="0" w:color="auto"/>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2013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2014</w:t>
            </w:r>
          </w:p>
        </w:tc>
      </w:tr>
      <w:tr w:rsidR="00154911" w:rsidRPr="00154911" w:rsidTr="00604DD0">
        <w:trPr>
          <w:trHeight w:val="300"/>
        </w:trPr>
        <w:tc>
          <w:tcPr>
            <w:tcW w:w="2142" w:type="dxa"/>
            <w:vMerge w:val="restart"/>
            <w:tcBorders>
              <w:top w:val="nil"/>
              <w:left w:val="single" w:sz="4" w:space="0" w:color="auto"/>
              <w:bottom w:val="single" w:sz="4" w:space="0" w:color="000000"/>
              <w:right w:val="single" w:sz="4" w:space="0" w:color="auto"/>
            </w:tcBorders>
            <w:shd w:val="clear" w:color="auto" w:fill="auto"/>
            <w:vAlign w:val="bottom"/>
            <w:hideMark/>
          </w:tcPr>
          <w:p w:rsidR="00154911" w:rsidRPr="00154911" w:rsidRDefault="00154911" w:rsidP="00154911">
            <w:pPr>
              <w:keepNext/>
              <w:jc w:val="left"/>
              <w:rPr>
                <w:rFonts w:eastAsia="Times New Roman"/>
                <w:color w:val="000000"/>
                <w:sz w:val="22"/>
                <w:lang w:eastAsia="pt-BR"/>
              </w:rPr>
            </w:pPr>
            <w:r w:rsidRPr="00154911">
              <w:rPr>
                <w:rFonts w:eastAsia="Times New Roman"/>
                <w:color w:val="000000"/>
                <w:sz w:val="22"/>
                <w:lang w:eastAsia="pt-BR"/>
              </w:rPr>
              <w:t>Valores nominais</w:t>
            </w:r>
          </w:p>
        </w:tc>
        <w:tc>
          <w:tcPr>
            <w:tcW w:w="1275"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r w:rsidRPr="00154911">
              <w:rPr>
                <w:rFonts w:eastAsia="Times New Roman"/>
                <w:color w:val="000000"/>
                <w:sz w:val="22"/>
                <w:lang w:eastAsia="pt-BR"/>
              </w:rPr>
              <w:t>FPE</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48.070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49.564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53.304</w:t>
            </w:r>
          </w:p>
        </w:tc>
        <w:tc>
          <w:tcPr>
            <w:tcW w:w="1134"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58.086</w:t>
            </w:r>
          </w:p>
        </w:tc>
      </w:tr>
      <w:tr w:rsidR="00154911" w:rsidRPr="00154911" w:rsidTr="00604DD0">
        <w:trPr>
          <w:trHeight w:val="300"/>
        </w:trPr>
        <w:tc>
          <w:tcPr>
            <w:tcW w:w="2142" w:type="dxa"/>
            <w:vMerge/>
            <w:tcBorders>
              <w:top w:val="nil"/>
              <w:left w:val="single" w:sz="4" w:space="0" w:color="auto"/>
              <w:bottom w:val="single" w:sz="4" w:space="0" w:color="000000"/>
              <w:right w:val="single" w:sz="4" w:space="0" w:color="auto"/>
            </w:tcBorders>
            <w:vAlign w:val="center"/>
            <w:hideMark/>
          </w:tcPr>
          <w:p w:rsidR="00154911" w:rsidRPr="00154911" w:rsidRDefault="00154911" w:rsidP="00154911">
            <w:pPr>
              <w:keepNext/>
              <w:jc w:val="left"/>
              <w:rPr>
                <w:rFonts w:eastAsia="Times New Roman"/>
                <w:color w:val="000000"/>
                <w:sz w:val="22"/>
                <w:lang w:eastAsia="pt-BR"/>
              </w:rPr>
            </w:pPr>
          </w:p>
        </w:tc>
        <w:tc>
          <w:tcPr>
            <w:tcW w:w="1275"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r w:rsidRPr="00154911">
              <w:rPr>
                <w:rFonts w:eastAsia="Times New Roman"/>
                <w:color w:val="000000"/>
                <w:sz w:val="22"/>
                <w:lang w:eastAsia="pt-BR"/>
              </w:rPr>
              <w:t>FPM</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53.097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54.747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58.878</w:t>
            </w:r>
          </w:p>
        </w:tc>
        <w:tc>
          <w:tcPr>
            <w:tcW w:w="1134"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64.158</w:t>
            </w:r>
          </w:p>
        </w:tc>
      </w:tr>
      <w:tr w:rsidR="00154911" w:rsidRPr="00154911" w:rsidTr="00604DD0">
        <w:trPr>
          <w:trHeight w:val="300"/>
        </w:trPr>
        <w:tc>
          <w:tcPr>
            <w:tcW w:w="2142" w:type="dxa"/>
            <w:vMerge/>
            <w:tcBorders>
              <w:top w:val="nil"/>
              <w:left w:val="single" w:sz="4" w:space="0" w:color="auto"/>
              <w:bottom w:val="single" w:sz="4" w:space="0" w:color="000000"/>
              <w:right w:val="single" w:sz="4" w:space="0" w:color="auto"/>
            </w:tcBorders>
            <w:vAlign w:val="center"/>
            <w:hideMark/>
          </w:tcPr>
          <w:p w:rsidR="00154911" w:rsidRPr="00154911" w:rsidRDefault="00154911" w:rsidP="00154911">
            <w:pPr>
              <w:keepNext/>
              <w:jc w:val="left"/>
              <w:rPr>
                <w:rFonts w:eastAsia="Times New Roman"/>
                <w:color w:val="000000"/>
                <w:sz w:val="22"/>
                <w:lang w:eastAsia="pt-BR"/>
              </w:rPr>
            </w:pPr>
          </w:p>
        </w:tc>
        <w:tc>
          <w:tcPr>
            <w:tcW w:w="1275"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r w:rsidRPr="00154911">
              <w:rPr>
                <w:rFonts w:eastAsia="Times New Roman"/>
                <w:color w:val="000000"/>
                <w:sz w:val="22"/>
                <w:lang w:eastAsia="pt-BR"/>
              </w:rPr>
              <w:t>Total</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103.179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106.323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114.195</w:t>
            </w:r>
          </w:p>
        </w:tc>
        <w:tc>
          <w:tcPr>
            <w:tcW w:w="1134"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124.258</w:t>
            </w:r>
          </w:p>
        </w:tc>
      </w:tr>
      <w:tr w:rsidR="00154911" w:rsidRPr="00154911" w:rsidTr="00604DD0">
        <w:trPr>
          <w:trHeight w:val="300"/>
        </w:trPr>
        <w:tc>
          <w:tcPr>
            <w:tcW w:w="3417" w:type="dxa"/>
            <w:gridSpan w:val="2"/>
            <w:tcBorders>
              <w:top w:val="nil"/>
              <w:left w:val="single" w:sz="4" w:space="0" w:color="auto"/>
              <w:bottom w:val="single" w:sz="4" w:space="0" w:color="auto"/>
              <w:right w:val="single" w:sz="4" w:space="0" w:color="auto"/>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r w:rsidRPr="00154911">
              <w:rPr>
                <w:rFonts w:eastAsia="Times New Roman"/>
                <w:color w:val="000000"/>
                <w:sz w:val="22"/>
                <w:lang w:eastAsia="pt-BR"/>
              </w:rPr>
              <w:t>Inflação acumulada anual (IPCA/IBGE) </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6,50%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5,84%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5,91%</w:t>
            </w:r>
          </w:p>
        </w:tc>
        <w:tc>
          <w:tcPr>
            <w:tcW w:w="1134"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6,41%</w:t>
            </w:r>
          </w:p>
        </w:tc>
      </w:tr>
      <w:tr w:rsidR="00154911" w:rsidRPr="00154911" w:rsidTr="00604DD0">
        <w:trPr>
          <w:trHeight w:val="300"/>
        </w:trPr>
        <w:tc>
          <w:tcPr>
            <w:tcW w:w="341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r w:rsidRPr="00154911">
              <w:rPr>
                <w:rFonts w:eastAsia="Times New Roman"/>
                <w:color w:val="000000"/>
                <w:sz w:val="22"/>
                <w:lang w:eastAsia="pt-BR"/>
              </w:rPr>
              <w:t>Inflação acumulada até 2014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119,28%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112,70%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106,41%</w:t>
            </w:r>
          </w:p>
        </w:tc>
        <w:tc>
          <w:tcPr>
            <w:tcW w:w="1134"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100,00%</w:t>
            </w:r>
          </w:p>
        </w:tc>
      </w:tr>
      <w:tr w:rsidR="00154911" w:rsidRPr="00154911" w:rsidTr="00604DD0">
        <w:trPr>
          <w:trHeight w:val="300"/>
        </w:trPr>
        <w:tc>
          <w:tcPr>
            <w:tcW w:w="2142" w:type="dxa"/>
            <w:vMerge w:val="restart"/>
            <w:tcBorders>
              <w:top w:val="nil"/>
              <w:left w:val="single" w:sz="4" w:space="0" w:color="auto"/>
              <w:bottom w:val="single" w:sz="4" w:space="0" w:color="000000"/>
              <w:right w:val="single" w:sz="4" w:space="0" w:color="auto"/>
            </w:tcBorders>
            <w:shd w:val="clear" w:color="auto" w:fill="auto"/>
            <w:vAlign w:val="bottom"/>
            <w:hideMark/>
          </w:tcPr>
          <w:p w:rsidR="00154911" w:rsidRPr="00154911" w:rsidRDefault="00154911" w:rsidP="00154911">
            <w:pPr>
              <w:keepNext/>
              <w:jc w:val="left"/>
              <w:rPr>
                <w:rFonts w:eastAsia="Times New Roman"/>
                <w:color w:val="000000"/>
                <w:sz w:val="22"/>
                <w:lang w:eastAsia="pt-BR"/>
              </w:rPr>
            </w:pPr>
            <w:r w:rsidRPr="00154911">
              <w:rPr>
                <w:rFonts w:eastAsia="Times New Roman"/>
                <w:color w:val="000000"/>
                <w:sz w:val="22"/>
                <w:lang w:eastAsia="pt-BR"/>
              </w:rPr>
              <w:t>Valores atualizados monetariamente até dez/2014</w:t>
            </w:r>
          </w:p>
        </w:tc>
        <w:tc>
          <w:tcPr>
            <w:tcW w:w="1275"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r w:rsidRPr="00154911">
              <w:rPr>
                <w:rFonts w:eastAsia="Times New Roman"/>
                <w:color w:val="000000"/>
                <w:sz w:val="22"/>
                <w:lang w:eastAsia="pt-BR"/>
              </w:rPr>
              <w:t>FPE</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57.338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55.859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56.721</w:t>
            </w:r>
          </w:p>
        </w:tc>
        <w:tc>
          <w:tcPr>
            <w:tcW w:w="1134"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58.086</w:t>
            </w:r>
          </w:p>
        </w:tc>
      </w:tr>
      <w:tr w:rsidR="00154911" w:rsidRPr="00154911" w:rsidTr="00604DD0">
        <w:trPr>
          <w:trHeight w:val="300"/>
        </w:trPr>
        <w:tc>
          <w:tcPr>
            <w:tcW w:w="2142" w:type="dxa"/>
            <w:vMerge/>
            <w:tcBorders>
              <w:top w:val="nil"/>
              <w:left w:val="single" w:sz="4" w:space="0" w:color="auto"/>
              <w:bottom w:val="single" w:sz="4" w:space="0" w:color="000000"/>
              <w:right w:val="single" w:sz="4" w:space="0" w:color="auto"/>
            </w:tcBorders>
            <w:vAlign w:val="center"/>
            <w:hideMark/>
          </w:tcPr>
          <w:p w:rsidR="00154911" w:rsidRPr="00154911" w:rsidRDefault="00154911" w:rsidP="00154911">
            <w:pPr>
              <w:keepNext/>
              <w:jc w:val="left"/>
              <w:rPr>
                <w:rFonts w:eastAsia="Times New Roman"/>
                <w:color w:val="000000"/>
                <w:sz w:val="22"/>
                <w:lang w:eastAsia="pt-BR"/>
              </w:rPr>
            </w:pPr>
          </w:p>
        </w:tc>
        <w:tc>
          <w:tcPr>
            <w:tcW w:w="1275"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r w:rsidRPr="00154911">
              <w:rPr>
                <w:rFonts w:eastAsia="Times New Roman"/>
                <w:color w:val="000000"/>
                <w:sz w:val="22"/>
                <w:lang w:eastAsia="pt-BR"/>
              </w:rPr>
              <w:t>FPM</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63.335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61.699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62.652</w:t>
            </w:r>
          </w:p>
        </w:tc>
        <w:tc>
          <w:tcPr>
            <w:tcW w:w="1134"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color w:val="000000"/>
                <w:sz w:val="22"/>
                <w:lang w:eastAsia="pt-BR"/>
              </w:rPr>
            </w:pPr>
            <w:r w:rsidRPr="00154911">
              <w:rPr>
                <w:rFonts w:eastAsia="Times New Roman"/>
                <w:color w:val="000000"/>
                <w:sz w:val="22"/>
                <w:lang w:eastAsia="pt-BR"/>
              </w:rPr>
              <w:t>64.158</w:t>
            </w:r>
          </w:p>
        </w:tc>
      </w:tr>
      <w:tr w:rsidR="00154911" w:rsidRPr="00154911" w:rsidTr="00604DD0">
        <w:trPr>
          <w:trHeight w:val="300"/>
        </w:trPr>
        <w:tc>
          <w:tcPr>
            <w:tcW w:w="2142" w:type="dxa"/>
            <w:vMerge/>
            <w:tcBorders>
              <w:top w:val="nil"/>
              <w:left w:val="single" w:sz="4" w:space="0" w:color="auto"/>
              <w:bottom w:val="single" w:sz="4" w:space="0" w:color="000000"/>
              <w:right w:val="single" w:sz="4" w:space="0" w:color="auto"/>
            </w:tcBorders>
            <w:vAlign w:val="center"/>
            <w:hideMark/>
          </w:tcPr>
          <w:p w:rsidR="00154911" w:rsidRPr="00154911" w:rsidRDefault="00154911" w:rsidP="00154911">
            <w:pPr>
              <w:keepNext/>
              <w:jc w:val="left"/>
              <w:rPr>
                <w:rFonts w:eastAsia="Times New Roman"/>
                <w:color w:val="000000"/>
                <w:sz w:val="22"/>
                <w:lang w:eastAsia="pt-BR"/>
              </w:rPr>
            </w:pPr>
          </w:p>
        </w:tc>
        <w:tc>
          <w:tcPr>
            <w:tcW w:w="1275"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left"/>
              <w:rPr>
                <w:rFonts w:eastAsia="Times New Roman"/>
                <w:b/>
                <w:bCs/>
                <w:color w:val="000000"/>
                <w:sz w:val="22"/>
                <w:lang w:eastAsia="pt-BR"/>
              </w:rPr>
            </w:pPr>
            <w:r w:rsidRPr="00154911">
              <w:rPr>
                <w:rFonts w:eastAsia="Times New Roman"/>
                <w:b/>
                <w:bCs/>
                <w:color w:val="000000"/>
                <w:sz w:val="22"/>
                <w:lang w:eastAsia="pt-BR"/>
              </w:rPr>
              <w:t>Total</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b/>
                <w:bCs/>
                <w:color w:val="000000"/>
                <w:sz w:val="22"/>
                <w:lang w:eastAsia="pt-BR"/>
              </w:rPr>
            </w:pPr>
            <w:r w:rsidRPr="00154911">
              <w:rPr>
                <w:rFonts w:eastAsia="Times New Roman"/>
                <w:b/>
                <w:bCs/>
                <w:color w:val="000000"/>
                <w:sz w:val="22"/>
                <w:lang w:eastAsia="pt-BR"/>
              </w:rPr>
              <w:t>120.674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b/>
                <w:bCs/>
                <w:color w:val="000000"/>
                <w:sz w:val="22"/>
                <w:lang w:eastAsia="pt-BR"/>
              </w:rPr>
            </w:pPr>
            <w:r w:rsidRPr="00154911">
              <w:rPr>
                <w:rFonts w:eastAsia="Times New Roman"/>
                <w:b/>
                <w:bCs/>
                <w:color w:val="000000"/>
                <w:sz w:val="22"/>
                <w:lang w:eastAsia="pt-BR"/>
              </w:rPr>
              <w:t>117.559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b/>
                <w:bCs/>
                <w:color w:val="000000"/>
                <w:sz w:val="22"/>
                <w:lang w:eastAsia="pt-BR"/>
              </w:rPr>
            </w:pPr>
            <w:r w:rsidRPr="00154911">
              <w:rPr>
                <w:rFonts w:eastAsia="Times New Roman"/>
                <w:b/>
                <w:bCs/>
                <w:color w:val="000000"/>
                <w:sz w:val="22"/>
                <w:lang w:eastAsia="pt-BR"/>
              </w:rPr>
              <w:t>119.374</w:t>
            </w:r>
          </w:p>
        </w:tc>
        <w:tc>
          <w:tcPr>
            <w:tcW w:w="1134"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b/>
                <w:bCs/>
                <w:color w:val="000000"/>
                <w:sz w:val="22"/>
                <w:lang w:eastAsia="pt-BR"/>
              </w:rPr>
            </w:pPr>
            <w:r w:rsidRPr="00154911">
              <w:rPr>
                <w:rFonts w:eastAsia="Times New Roman"/>
                <w:b/>
                <w:bCs/>
                <w:color w:val="000000"/>
                <w:sz w:val="22"/>
                <w:lang w:eastAsia="pt-BR"/>
              </w:rPr>
              <w:t>122.245</w:t>
            </w:r>
          </w:p>
        </w:tc>
      </w:tr>
      <w:tr w:rsidR="00154911" w:rsidRPr="00154911" w:rsidTr="00604DD0">
        <w:trPr>
          <w:trHeight w:val="300"/>
        </w:trPr>
        <w:tc>
          <w:tcPr>
            <w:tcW w:w="469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54911" w:rsidRPr="00154911" w:rsidRDefault="00154911" w:rsidP="00154911">
            <w:pPr>
              <w:keepNext/>
              <w:jc w:val="left"/>
              <w:rPr>
                <w:rFonts w:eastAsia="Times New Roman"/>
                <w:b/>
                <w:bCs/>
                <w:color w:val="000000"/>
                <w:sz w:val="22"/>
                <w:lang w:eastAsia="pt-BR"/>
              </w:rPr>
            </w:pPr>
            <w:r w:rsidRPr="00154911">
              <w:rPr>
                <w:rFonts w:eastAsia="Times New Roman"/>
                <w:b/>
                <w:bCs/>
                <w:color w:val="000000"/>
                <w:sz w:val="22"/>
                <w:lang w:eastAsia="pt-BR"/>
              </w:rPr>
              <w:t>Variação real em relação a 2011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b/>
                <w:bCs/>
                <w:color w:val="000000"/>
                <w:sz w:val="22"/>
                <w:lang w:eastAsia="pt-BR"/>
              </w:rPr>
            </w:pPr>
            <w:r w:rsidRPr="00154911">
              <w:rPr>
                <w:rFonts w:eastAsia="Times New Roman"/>
                <w:b/>
                <w:bCs/>
                <w:color w:val="000000"/>
                <w:sz w:val="22"/>
                <w:lang w:eastAsia="pt-BR"/>
              </w:rPr>
              <w:t>-2,42%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b/>
                <w:bCs/>
                <w:color w:val="000000"/>
                <w:sz w:val="22"/>
                <w:lang w:eastAsia="pt-BR"/>
              </w:rPr>
            </w:pPr>
            <w:r w:rsidRPr="00154911">
              <w:rPr>
                <w:rFonts w:eastAsia="Times New Roman"/>
                <w:b/>
                <w:bCs/>
                <w:color w:val="000000"/>
                <w:sz w:val="22"/>
                <w:lang w:eastAsia="pt-BR"/>
              </w:rPr>
              <w:t>-0,92%</w:t>
            </w:r>
          </w:p>
        </w:tc>
        <w:tc>
          <w:tcPr>
            <w:tcW w:w="1134" w:type="dxa"/>
            <w:tcBorders>
              <w:top w:val="nil"/>
              <w:left w:val="nil"/>
              <w:bottom w:val="single" w:sz="4" w:space="0" w:color="auto"/>
              <w:right w:val="single" w:sz="4" w:space="0" w:color="auto"/>
            </w:tcBorders>
            <w:shd w:val="clear" w:color="auto" w:fill="auto"/>
            <w:noWrap/>
            <w:vAlign w:val="bottom"/>
            <w:hideMark/>
          </w:tcPr>
          <w:p w:rsidR="00154911" w:rsidRPr="00154911" w:rsidRDefault="00154911" w:rsidP="00154911">
            <w:pPr>
              <w:keepNext/>
              <w:jc w:val="right"/>
              <w:rPr>
                <w:rFonts w:eastAsia="Times New Roman"/>
                <w:b/>
                <w:bCs/>
                <w:color w:val="000000"/>
                <w:sz w:val="22"/>
                <w:lang w:eastAsia="pt-BR"/>
              </w:rPr>
            </w:pPr>
            <w:r w:rsidRPr="00154911">
              <w:rPr>
                <w:rFonts w:eastAsia="Times New Roman"/>
                <w:b/>
                <w:bCs/>
                <w:color w:val="000000"/>
                <w:sz w:val="22"/>
                <w:lang w:eastAsia="pt-BR"/>
              </w:rPr>
              <w:t>1,47%</w:t>
            </w:r>
          </w:p>
        </w:tc>
      </w:tr>
      <w:tr w:rsidR="00154911" w:rsidRPr="00154911" w:rsidTr="00604DD0">
        <w:trPr>
          <w:trHeight w:val="300"/>
        </w:trPr>
        <w:tc>
          <w:tcPr>
            <w:tcW w:w="2142" w:type="dxa"/>
            <w:tcBorders>
              <w:top w:val="nil"/>
              <w:left w:val="nil"/>
              <w:bottom w:val="nil"/>
              <w:right w:val="nil"/>
            </w:tcBorders>
            <w:shd w:val="clear" w:color="auto" w:fill="auto"/>
            <w:noWrap/>
            <w:vAlign w:val="bottom"/>
            <w:hideMark/>
          </w:tcPr>
          <w:p w:rsidR="00154911" w:rsidRPr="00154911" w:rsidRDefault="00154911" w:rsidP="00154911">
            <w:pPr>
              <w:keepNext/>
              <w:jc w:val="left"/>
              <w:rPr>
                <w:rFonts w:eastAsia="Times New Roman"/>
                <w:color w:val="000000"/>
                <w:sz w:val="18"/>
                <w:szCs w:val="18"/>
                <w:lang w:eastAsia="pt-BR"/>
              </w:rPr>
            </w:pPr>
            <w:r w:rsidRPr="00154911">
              <w:rPr>
                <w:rFonts w:eastAsia="Times New Roman"/>
                <w:color w:val="000000"/>
                <w:sz w:val="18"/>
                <w:szCs w:val="18"/>
                <w:lang w:eastAsia="pt-BR"/>
              </w:rPr>
              <w:t>Fonte: Tesouro Nacional</w:t>
            </w:r>
          </w:p>
        </w:tc>
        <w:tc>
          <w:tcPr>
            <w:tcW w:w="1275" w:type="dxa"/>
            <w:tcBorders>
              <w:top w:val="nil"/>
              <w:left w:val="nil"/>
              <w:bottom w:val="nil"/>
              <w:right w:val="nil"/>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p>
        </w:tc>
        <w:tc>
          <w:tcPr>
            <w:tcW w:w="1134" w:type="dxa"/>
            <w:tcBorders>
              <w:top w:val="nil"/>
              <w:left w:val="nil"/>
              <w:bottom w:val="nil"/>
              <w:right w:val="nil"/>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p>
        </w:tc>
        <w:tc>
          <w:tcPr>
            <w:tcW w:w="1276" w:type="dxa"/>
            <w:gridSpan w:val="2"/>
            <w:tcBorders>
              <w:top w:val="nil"/>
              <w:left w:val="nil"/>
              <w:bottom w:val="nil"/>
              <w:right w:val="nil"/>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p>
        </w:tc>
        <w:tc>
          <w:tcPr>
            <w:tcW w:w="1151" w:type="dxa"/>
            <w:gridSpan w:val="2"/>
            <w:tcBorders>
              <w:top w:val="nil"/>
              <w:left w:val="nil"/>
              <w:bottom w:val="nil"/>
              <w:right w:val="nil"/>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p>
        </w:tc>
        <w:tc>
          <w:tcPr>
            <w:tcW w:w="1401" w:type="dxa"/>
            <w:gridSpan w:val="2"/>
            <w:tcBorders>
              <w:top w:val="nil"/>
              <w:left w:val="nil"/>
              <w:bottom w:val="nil"/>
              <w:right w:val="nil"/>
            </w:tcBorders>
            <w:shd w:val="clear" w:color="auto" w:fill="auto"/>
            <w:noWrap/>
            <w:vAlign w:val="bottom"/>
            <w:hideMark/>
          </w:tcPr>
          <w:p w:rsidR="00154911" w:rsidRPr="00154911" w:rsidRDefault="00154911" w:rsidP="00154911">
            <w:pPr>
              <w:keepNext/>
              <w:jc w:val="left"/>
              <w:rPr>
                <w:rFonts w:eastAsia="Times New Roman"/>
                <w:color w:val="000000"/>
                <w:sz w:val="22"/>
                <w:lang w:eastAsia="pt-BR"/>
              </w:rPr>
            </w:pPr>
          </w:p>
        </w:tc>
      </w:tr>
    </w:tbl>
    <w:p w:rsidR="00154911" w:rsidRPr="00154911" w:rsidRDefault="00154911" w:rsidP="00154911">
      <w:pPr>
        <w:spacing w:after="200" w:line="360" w:lineRule="exact"/>
        <w:ind w:firstLine="1134"/>
        <w:rPr>
          <w:rFonts w:eastAsia="Times New Roman" w:cs="Times New Roman"/>
          <w:snapToGrid w:val="0"/>
          <w:color w:val="000000"/>
          <w:sz w:val="24"/>
          <w:szCs w:val="20"/>
          <w:lang w:eastAsia="pt-BR"/>
        </w:rPr>
      </w:pP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 xml:space="preserve">Assim, unilateralmente, a União promove isenções que afetam as receitas públicas a serem distribuídas aos Estados e Municípios por meio desses fundos, o que pode interferir no equilíbrio das contas públicas desses entes federativos. </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 xml:space="preserve">O assunto já foi previamente debatido na Câmara dos Deputados durante o processo de elaboração da Lei Complementar nº 143/2013, em que essa casa ofereceu emenda ao PLP nº 288/2013, oriundo do Senado Federal, a qual acrescentava o art. 5º ao referido projeto. </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 xml:space="preserve">No texto proposto pela Câmara dos Deputados, as eventuais desonerações concedidas pelo governo federal no âmbito do IR e do IPI deveriam incidir somente sobre a cota de arrecadação destinada à União. A emenda foi </w:t>
      </w:r>
      <w:r w:rsidRPr="00154911">
        <w:rPr>
          <w:rFonts w:eastAsia="Times New Roman" w:cs="Times New Roman"/>
          <w:snapToGrid w:val="0"/>
          <w:color w:val="000000"/>
          <w:sz w:val="24"/>
          <w:szCs w:val="20"/>
          <w:lang w:eastAsia="pt-BR"/>
        </w:rPr>
        <w:lastRenderedPageBreak/>
        <w:t>aprovada tanto pela admissibilidade, como pelo mérito, pelas comissões e pelo Plenário de ambas as casas. Entretanto, o artigo 5º foi vetado pela Presidente da República, alegando suposta inconstitucionalidade por violar o art. 159 da Constituição Federal, e também contrariedade ao interesse público, por “limitar o escopo de política econômica característico das desonerações, especialmente no que tange ao caráter extrafiscal do imposto sobre produtos industrializados”.</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 xml:space="preserve">Em que pese o esforço da União em promover um aquecimento na economia por meio de renúncias de receitas seletivas, como as do IPI, é necessário ressaltar que as medidas de compensação constantes no art. 14 da Lei de Responsabilidade Fiscal apenas exigem que as renúncias sejam compensadas dentro do orçamento do ente federativo responsável pelo tributo. Assim, não há nenhum mecanismo de compensação à perda de receita de tributos cuja arrecadação será partilhada com outros entes federativos, de forma direta ou mediante fundos constitucionais, o que prejudica a autonomia dos Estados, Distrito Federal e Municípios. </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 xml:space="preserve">Nesse sentido, o parágrafo 4º cria mais uma exigência para os entes federativos que concedem renúncias de receita para esse tipo de tributo, que seria a elaboração de um estudo do impacto financeiro das medidas de desoneração sobre os recursos a serem repassados aos outros entes federativos. O estudo deverá ser realizado com base na projeção de inflação para o exercício atual e para os dois subsequentes, haja vista que os valores nominais de receitas tendem a ser maiores em um contexto inflacionário. </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Já o parágrafo 5º estabelece um mecanismo de compensação nos casos em que as medidas de renúncia de receita causem prejuízo a outros entes federativos. No caso de apuração de perdas reais de arrecadação, o ente federativo será obrigado a compensar financeiramente o ente federativo ou fundo constitucional prejudicado em montante igual à perda projetada, durante o período em que vigorar a renúncia de receita.</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 xml:space="preserve">Ressalta-se que essa exigência não impede que haja renúncia de receitas nos tributos com produto de arrecadação partilhado com outros entes. Elas podem ocorrer, mas desde que isso não resulte em perdas aos demais entes federativos que devam receber sua parte naquele tributo, o que não limita o escopo da política econômica característico das desonerações. Por exemplo, no caso das desonerações do IPI, é possível que a desoneração resulte em crescimento real na arrecadação, em decorrência do aquecimento da economia. Assim, as alterações pretendem evitar que as desonerações promovam prejuízos a outros entes </w:t>
      </w:r>
      <w:r w:rsidRPr="00154911">
        <w:rPr>
          <w:rFonts w:eastAsia="Times New Roman" w:cs="Times New Roman"/>
          <w:snapToGrid w:val="0"/>
          <w:color w:val="000000"/>
          <w:sz w:val="24"/>
          <w:szCs w:val="20"/>
          <w:lang w:eastAsia="pt-BR"/>
        </w:rPr>
        <w:lastRenderedPageBreak/>
        <w:t>federativos, cujo equilíbrio orçamentário e financeiro também depende das receitas desses tributos a serem partilhados.</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 xml:space="preserve">Dessa forma, esses parágrafos acrescentados ao art. 14 da LRF garantem maior transparência no processo de concessão de renúncias de receita, obrigando o ente federativo que concedê-la a examinar se há outros entes federativos prejudicados com a medida. Além disso, o PLP protege a autonomia dos demais entes federativos, devido à obrigatoriedade de prever uma compensação financeira para aqueles que tiverem prejuízos com as desonerações. </w:t>
      </w:r>
    </w:p>
    <w:p w:rsidR="00154911" w:rsidRPr="00154911" w:rsidRDefault="00154911" w:rsidP="00154911">
      <w:pPr>
        <w:spacing w:after="200" w:line="360" w:lineRule="exact"/>
        <w:ind w:firstLine="2302"/>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Portanto, a aprovação deste PLP diminui o risco de desequilíbrios orçamentários e financeiros, e contribui para a manutenção da responsabilidade fiscal nas contas dos Estados, do Distrito Federal e dos Municípios.</w:t>
      </w:r>
    </w:p>
    <w:p w:rsidR="00154911" w:rsidRPr="00154911" w:rsidRDefault="00154911" w:rsidP="00C07789">
      <w:pPr>
        <w:spacing w:before="300" w:after="400" w:line="360" w:lineRule="exact"/>
        <w:ind w:left="6" w:firstLine="1559"/>
        <w:rPr>
          <w:rFonts w:eastAsia="Times New Roman" w:cs="Times New Roman"/>
          <w:snapToGrid w:val="0"/>
          <w:color w:val="000000"/>
          <w:sz w:val="24"/>
          <w:szCs w:val="20"/>
          <w:lang w:eastAsia="pt-BR"/>
        </w:rPr>
      </w:pPr>
      <w:r w:rsidRPr="00154911">
        <w:rPr>
          <w:rFonts w:eastAsia="Times New Roman" w:cs="Times New Roman"/>
          <w:snapToGrid w:val="0"/>
          <w:color w:val="000000"/>
          <w:sz w:val="24"/>
          <w:szCs w:val="20"/>
          <w:lang w:eastAsia="pt-BR"/>
        </w:rPr>
        <w:t xml:space="preserve">                            Sala das Sessões, em 25 de fevereiro de 2015.</w:t>
      </w:r>
    </w:p>
    <w:p w:rsidR="00154911" w:rsidRPr="00154911" w:rsidRDefault="00154911" w:rsidP="00154911">
      <w:pPr>
        <w:widowControl w:val="0"/>
        <w:spacing w:line="360" w:lineRule="exact"/>
        <w:jc w:val="center"/>
        <w:rPr>
          <w:rFonts w:eastAsia="Times New Roman" w:cs="Times New Roman"/>
          <w:b/>
          <w:snapToGrid w:val="0"/>
          <w:color w:val="000000"/>
          <w:sz w:val="24"/>
          <w:szCs w:val="20"/>
          <w:lang w:eastAsia="pt-BR"/>
        </w:rPr>
      </w:pPr>
      <w:r w:rsidRPr="00154911">
        <w:rPr>
          <w:rFonts w:eastAsia="Times New Roman" w:cs="Times New Roman"/>
          <w:b/>
          <w:snapToGrid w:val="0"/>
          <w:color w:val="000000"/>
          <w:sz w:val="24"/>
          <w:szCs w:val="20"/>
          <w:lang w:eastAsia="pt-BR"/>
        </w:rPr>
        <w:t>Deputado ALCEU MOREIRA</w:t>
      </w:r>
    </w:p>
    <w:p w:rsidR="00154911" w:rsidRDefault="00154911" w:rsidP="00154911">
      <w:pPr>
        <w:rPr>
          <w:sz w:val="24"/>
        </w:rPr>
      </w:pPr>
    </w:p>
    <w:p w:rsidR="00C07789" w:rsidRDefault="00C07789" w:rsidP="00154911">
      <w:pPr>
        <w:rPr>
          <w:sz w:val="24"/>
        </w:rPr>
      </w:pPr>
    </w:p>
    <w:p w:rsidR="00154911" w:rsidRDefault="00154911" w:rsidP="00154911">
      <w:pPr>
        <w:pBdr>
          <w:top w:val="single" w:sz="4" w:space="1" w:color="auto"/>
          <w:left w:val="single" w:sz="4" w:space="4" w:color="auto"/>
          <w:bottom w:val="single" w:sz="4" w:space="1" w:color="auto"/>
          <w:right w:val="single" w:sz="4" w:space="4" w:color="auto"/>
        </w:pBdr>
        <w:jc w:val="center"/>
        <w:rPr>
          <w:b/>
          <w:sz w:val="24"/>
        </w:rPr>
      </w:pPr>
      <w:bookmarkStart w:id="11" w:name="z949025_LEGISLACAO"/>
      <w:bookmarkEnd w:id="10"/>
      <w:r>
        <w:rPr>
          <w:b/>
          <w:sz w:val="24"/>
        </w:rPr>
        <w:t>LEGISLAÇÃO CITADA ANEXADA PELA</w:t>
      </w:r>
    </w:p>
    <w:p w:rsidR="00154911" w:rsidRDefault="00154911" w:rsidP="00154911">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154911" w:rsidRDefault="00154911" w:rsidP="00154911">
      <w:pPr>
        <w:jc w:val="center"/>
        <w:rPr>
          <w:b/>
          <w:sz w:val="24"/>
        </w:rPr>
      </w:pPr>
    </w:p>
    <w:p w:rsidR="00154911" w:rsidRPr="00154911" w:rsidRDefault="00154911" w:rsidP="00154911">
      <w:pPr>
        <w:keepNext/>
        <w:ind w:right="40"/>
        <w:jc w:val="center"/>
        <w:outlineLvl w:val="0"/>
        <w:rPr>
          <w:rFonts w:ascii="Times New Roman" w:eastAsia="Times New Roman" w:hAnsi="Times New Roman" w:cs="Times New Roman"/>
          <w:b/>
          <w:snapToGrid w:val="0"/>
          <w:sz w:val="32"/>
          <w:szCs w:val="32"/>
          <w:lang w:eastAsia="pt-BR"/>
        </w:rPr>
      </w:pPr>
      <w:r w:rsidRPr="00154911">
        <w:rPr>
          <w:rFonts w:ascii="Times New Roman" w:eastAsia="Times New Roman" w:hAnsi="Times New Roman" w:cs="Times New Roman"/>
          <w:b/>
          <w:snapToGrid w:val="0"/>
          <w:sz w:val="32"/>
          <w:szCs w:val="32"/>
          <w:lang w:eastAsia="pt-BR"/>
        </w:rPr>
        <w:t xml:space="preserve">CONSTITUIÇÃO </w:t>
      </w:r>
    </w:p>
    <w:p w:rsidR="00154911" w:rsidRPr="00154911" w:rsidRDefault="00154911" w:rsidP="00154911">
      <w:pPr>
        <w:keepNext/>
        <w:ind w:right="40"/>
        <w:jc w:val="center"/>
        <w:outlineLvl w:val="0"/>
        <w:rPr>
          <w:rFonts w:ascii="Times New Roman" w:eastAsia="Times New Roman" w:hAnsi="Times New Roman" w:cs="Times New Roman"/>
          <w:b/>
          <w:snapToGrid w:val="0"/>
          <w:sz w:val="28"/>
          <w:szCs w:val="28"/>
          <w:lang w:eastAsia="pt-BR"/>
        </w:rPr>
      </w:pPr>
      <w:r w:rsidRPr="00154911">
        <w:rPr>
          <w:rFonts w:ascii="Times New Roman" w:eastAsia="Times New Roman" w:hAnsi="Times New Roman" w:cs="Times New Roman"/>
          <w:b/>
          <w:snapToGrid w:val="0"/>
          <w:sz w:val="28"/>
          <w:szCs w:val="28"/>
          <w:lang w:eastAsia="pt-BR"/>
        </w:rPr>
        <w:t xml:space="preserve">DA </w:t>
      </w:r>
    </w:p>
    <w:p w:rsidR="00154911" w:rsidRPr="00154911" w:rsidRDefault="00154911" w:rsidP="00154911">
      <w:pPr>
        <w:keepNext/>
        <w:ind w:right="40"/>
        <w:jc w:val="center"/>
        <w:outlineLvl w:val="0"/>
        <w:rPr>
          <w:rFonts w:ascii="Times New Roman" w:eastAsia="Times New Roman" w:hAnsi="Times New Roman" w:cs="Times New Roman"/>
          <w:b/>
          <w:snapToGrid w:val="0"/>
          <w:sz w:val="28"/>
          <w:szCs w:val="28"/>
          <w:lang w:eastAsia="pt-BR"/>
        </w:rPr>
      </w:pPr>
      <w:r w:rsidRPr="00154911">
        <w:rPr>
          <w:rFonts w:ascii="Times New Roman" w:eastAsia="Times New Roman" w:hAnsi="Times New Roman" w:cs="Times New Roman"/>
          <w:b/>
          <w:snapToGrid w:val="0"/>
          <w:sz w:val="28"/>
          <w:szCs w:val="28"/>
          <w:lang w:eastAsia="pt-BR"/>
        </w:rPr>
        <w:t>REPÚBLICA FEDERATIVA DO BRASIL</w:t>
      </w:r>
    </w:p>
    <w:p w:rsidR="00154911" w:rsidRPr="00154911" w:rsidRDefault="00154911" w:rsidP="00154911">
      <w:pPr>
        <w:jc w:val="center"/>
        <w:rPr>
          <w:rFonts w:ascii="Times New Roman" w:eastAsia="Times New Roman" w:hAnsi="Times New Roman" w:cs="Times New Roman"/>
          <w:b/>
          <w:sz w:val="24"/>
          <w:szCs w:val="20"/>
          <w:lang w:eastAsia="pt-BR"/>
        </w:rPr>
      </w:pPr>
      <w:r w:rsidRPr="00154911">
        <w:rPr>
          <w:rFonts w:ascii="Times New Roman" w:eastAsia="Times New Roman" w:hAnsi="Times New Roman" w:cs="Times New Roman"/>
          <w:b/>
          <w:sz w:val="28"/>
          <w:szCs w:val="28"/>
          <w:lang w:eastAsia="pt-BR"/>
        </w:rPr>
        <w:t>1988</w:t>
      </w:r>
    </w:p>
    <w:p w:rsidR="00154911" w:rsidRPr="00154911" w:rsidRDefault="00154911" w:rsidP="00154911">
      <w:pPr>
        <w:tabs>
          <w:tab w:val="center" w:pos="4419"/>
          <w:tab w:val="right" w:pos="8838"/>
        </w:tabs>
        <w:jc w:val="center"/>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w:t>
      </w:r>
    </w:p>
    <w:p w:rsidR="00154911" w:rsidRPr="00154911" w:rsidRDefault="00154911" w:rsidP="00154911">
      <w:pPr>
        <w:keepNext/>
        <w:jc w:val="center"/>
        <w:outlineLvl w:val="4"/>
        <w:rPr>
          <w:rFonts w:ascii="Times New Roman" w:eastAsia="Times New Roman" w:hAnsi="Times New Roman" w:cs="Times New Roman"/>
          <w:b/>
          <w:color w:val="000000"/>
          <w:sz w:val="24"/>
          <w:szCs w:val="20"/>
          <w:lang w:eastAsia="pt-BR"/>
        </w:rPr>
      </w:pPr>
    </w:p>
    <w:p w:rsidR="00154911" w:rsidRPr="00154911" w:rsidRDefault="00154911" w:rsidP="00154911">
      <w:pPr>
        <w:jc w:val="center"/>
        <w:rPr>
          <w:rFonts w:ascii="Times New Roman" w:eastAsia="Times New Roman" w:hAnsi="Times New Roman" w:cs="Times New Roman"/>
          <w:color w:val="000000"/>
          <w:sz w:val="24"/>
          <w:szCs w:val="20"/>
          <w:lang w:eastAsia="pt-BR"/>
        </w:rPr>
      </w:pPr>
      <w:r w:rsidRPr="00154911">
        <w:rPr>
          <w:rFonts w:ascii="Times New Roman" w:eastAsia="Times New Roman" w:hAnsi="Times New Roman" w:cs="Times New Roman"/>
          <w:color w:val="000000"/>
          <w:sz w:val="24"/>
          <w:szCs w:val="20"/>
          <w:lang w:eastAsia="pt-BR"/>
        </w:rPr>
        <w:t>TÍTULO VI</w:t>
      </w:r>
    </w:p>
    <w:p w:rsidR="00154911" w:rsidRPr="00154911" w:rsidRDefault="00154911" w:rsidP="00154911">
      <w:pPr>
        <w:jc w:val="center"/>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DA TRIBUTAÇÃO E DO ORÇAMENTO</w:t>
      </w:r>
    </w:p>
    <w:p w:rsidR="00154911" w:rsidRPr="00154911" w:rsidRDefault="00154911" w:rsidP="00154911">
      <w:pPr>
        <w:jc w:val="center"/>
        <w:rPr>
          <w:rFonts w:ascii="Times New Roman" w:eastAsia="Times New Roman" w:hAnsi="Times New Roman" w:cs="Times New Roman"/>
          <w:sz w:val="24"/>
          <w:szCs w:val="20"/>
          <w:lang w:eastAsia="pt-BR"/>
        </w:rPr>
      </w:pPr>
    </w:p>
    <w:p w:rsidR="00154911" w:rsidRPr="00154911" w:rsidRDefault="00154911" w:rsidP="00154911">
      <w:pPr>
        <w:jc w:val="center"/>
        <w:rPr>
          <w:rFonts w:ascii="Times New Roman" w:eastAsia="Times New Roman" w:hAnsi="Times New Roman" w:cs="Times New Roman"/>
          <w:color w:val="000000"/>
          <w:sz w:val="24"/>
          <w:szCs w:val="20"/>
          <w:lang w:eastAsia="pt-BR"/>
        </w:rPr>
      </w:pPr>
      <w:r w:rsidRPr="00154911">
        <w:rPr>
          <w:rFonts w:ascii="Times New Roman" w:eastAsia="Times New Roman" w:hAnsi="Times New Roman" w:cs="Times New Roman"/>
          <w:color w:val="000000"/>
          <w:sz w:val="24"/>
          <w:szCs w:val="20"/>
          <w:lang w:eastAsia="pt-BR"/>
        </w:rPr>
        <w:t>CAPÍTULO I</w:t>
      </w:r>
    </w:p>
    <w:p w:rsidR="00154911" w:rsidRPr="00154911" w:rsidRDefault="00154911" w:rsidP="00154911">
      <w:pPr>
        <w:jc w:val="center"/>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DO SISTEMA TRIBUTÁRIO NACIONAL</w:t>
      </w:r>
    </w:p>
    <w:p w:rsidR="00154911" w:rsidRPr="00154911" w:rsidRDefault="00154911" w:rsidP="00154911">
      <w:pPr>
        <w:keepNext/>
        <w:jc w:val="center"/>
        <w:outlineLvl w:val="4"/>
        <w:rPr>
          <w:rFonts w:ascii="Times New Roman" w:eastAsia="Times New Roman" w:hAnsi="Times New Roman" w:cs="Times New Roman"/>
          <w:color w:val="000000"/>
          <w:sz w:val="24"/>
          <w:szCs w:val="20"/>
          <w:lang w:eastAsia="pt-BR"/>
        </w:rPr>
      </w:pPr>
      <w:r w:rsidRPr="00154911">
        <w:rPr>
          <w:rFonts w:ascii="Times New Roman" w:eastAsia="Times New Roman" w:hAnsi="Times New Roman" w:cs="Times New Roman"/>
          <w:color w:val="000000"/>
          <w:sz w:val="24"/>
          <w:szCs w:val="20"/>
          <w:lang w:eastAsia="pt-BR"/>
        </w:rPr>
        <w:t>.......................................................................................................................................................</w:t>
      </w:r>
    </w:p>
    <w:p w:rsidR="00154911" w:rsidRPr="00154911" w:rsidRDefault="00154911" w:rsidP="00154911">
      <w:pPr>
        <w:keepNext/>
        <w:jc w:val="center"/>
        <w:outlineLvl w:val="4"/>
        <w:rPr>
          <w:rFonts w:ascii="Times New Roman" w:eastAsia="Times New Roman" w:hAnsi="Times New Roman" w:cs="Times New Roman"/>
          <w:b/>
          <w:color w:val="000000"/>
          <w:sz w:val="24"/>
          <w:szCs w:val="20"/>
          <w:lang w:eastAsia="pt-BR"/>
        </w:rPr>
      </w:pPr>
    </w:p>
    <w:p w:rsidR="00154911" w:rsidRPr="00154911" w:rsidRDefault="00154911" w:rsidP="00154911">
      <w:pPr>
        <w:keepNext/>
        <w:jc w:val="center"/>
        <w:outlineLvl w:val="4"/>
        <w:rPr>
          <w:rFonts w:ascii="Times New Roman" w:eastAsia="Times New Roman" w:hAnsi="Times New Roman" w:cs="Times New Roman"/>
          <w:b/>
          <w:color w:val="000000"/>
          <w:sz w:val="24"/>
          <w:szCs w:val="20"/>
          <w:lang w:eastAsia="pt-BR"/>
        </w:rPr>
      </w:pPr>
      <w:r w:rsidRPr="00154911">
        <w:rPr>
          <w:rFonts w:ascii="Times New Roman" w:eastAsia="Times New Roman" w:hAnsi="Times New Roman" w:cs="Times New Roman"/>
          <w:b/>
          <w:color w:val="000000"/>
          <w:sz w:val="24"/>
          <w:szCs w:val="20"/>
          <w:lang w:eastAsia="pt-BR"/>
        </w:rPr>
        <w:t>Seção VI</w:t>
      </w:r>
    </w:p>
    <w:p w:rsidR="00154911" w:rsidRPr="00154911" w:rsidRDefault="00154911" w:rsidP="00154911">
      <w:pPr>
        <w:jc w:val="center"/>
        <w:rPr>
          <w:rFonts w:ascii="Times New Roman" w:eastAsia="Times New Roman" w:hAnsi="Times New Roman" w:cs="Times New Roman"/>
          <w:sz w:val="24"/>
          <w:szCs w:val="20"/>
          <w:lang w:eastAsia="pt-BR"/>
        </w:rPr>
      </w:pPr>
      <w:r w:rsidRPr="00154911">
        <w:rPr>
          <w:rFonts w:ascii="Times New Roman" w:eastAsia="Times New Roman" w:hAnsi="Times New Roman" w:cs="Times New Roman"/>
          <w:b/>
          <w:color w:val="000000"/>
          <w:sz w:val="24"/>
          <w:szCs w:val="20"/>
          <w:lang w:eastAsia="pt-BR"/>
        </w:rPr>
        <w:t>Da Repartição das Receitas Tributárias</w:t>
      </w:r>
    </w:p>
    <w:p w:rsidR="00154911" w:rsidRPr="00154911" w:rsidRDefault="00154911" w:rsidP="00154911">
      <w:pPr>
        <w:ind w:firstLine="1134"/>
        <w:rPr>
          <w:rFonts w:ascii="Times New Roman" w:eastAsia="Times New Roman" w:hAnsi="Times New Roman" w:cs="Times New Roman"/>
          <w:sz w:val="24"/>
          <w:szCs w:val="20"/>
          <w:lang w:eastAsia="pt-BR"/>
        </w:rPr>
      </w:pP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Art. 157.</w:t>
      </w:r>
      <w:r w:rsidRPr="00154911">
        <w:rPr>
          <w:rFonts w:ascii="Times New Roman" w:eastAsia="Times New Roman" w:hAnsi="Times New Roman" w:cs="Times New Roman"/>
          <w:b/>
          <w:color w:val="000000"/>
          <w:sz w:val="24"/>
          <w:szCs w:val="20"/>
          <w:lang w:eastAsia="pt-BR"/>
        </w:rPr>
        <w:t xml:space="preserve"> </w:t>
      </w:r>
      <w:r w:rsidRPr="00154911">
        <w:rPr>
          <w:rFonts w:ascii="Times New Roman" w:eastAsia="Times New Roman" w:hAnsi="Times New Roman" w:cs="Times New Roman"/>
          <w:color w:val="000000"/>
          <w:sz w:val="24"/>
          <w:szCs w:val="20"/>
          <w:lang w:eastAsia="pt-BR"/>
        </w:rPr>
        <w:t xml:space="preserve">Pertencem aos Estados e ao Distrito Federal: </w:t>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 xml:space="preserve">I - o produto da arrecadação do imposto da União sobre renda e proventos de qualquer natureza, incidente na fonte sobre rendimentos pagos, a qualquer título, por eles, suas autarquias e pelas fundações que instituírem e mantiverem; </w:t>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 xml:space="preserve">II - vinte por cento do produto da arrecadação do imposto que a União instituir no exercício da competência que lhe é atribuída pelo art. 154, I. </w:t>
      </w:r>
    </w:p>
    <w:p w:rsidR="00154911" w:rsidRPr="00154911" w:rsidRDefault="00154911" w:rsidP="00154911">
      <w:pPr>
        <w:ind w:firstLine="1134"/>
        <w:rPr>
          <w:rFonts w:ascii="Times New Roman" w:eastAsia="Times New Roman" w:hAnsi="Times New Roman" w:cs="Times New Roman"/>
          <w:b/>
          <w:color w:val="000000"/>
          <w:sz w:val="24"/>
          <w:szCs w:val="20"/>
          <w:lang w:eastAsia="pt-BR"/>
        </w:rPr>
      </w:pP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Art. 158.</w:t>
      </w:r>
      <w:r w:rsidRPr="00154911">
        <w:rPr>
          <w:rFonts w:ascii="Times New Roman" w:eastAsia="Times New Roman" w:hAnsi="Times New Roman" w:cs="Times New Roman"/>
          <w:b/>
          <w:color w:val="000000"/>
          <w:sz w:val="24"/>
          <w:szCs w:val="20"/>
          <w:lang w:eastAsia="pt-BR"/>
        </w:rPr>
        <w:t xml:space="preserve"> </w:t>
      </w:r>
      <w:r w:rsidRPr="00154911">
        <w:rPr>
          <w:rFonts w:ascii="Times New Roman" w:eastAsia="Times New Roman" w:hAnsi="Times New Roman" w:cs="Times New Roman"/>
          <w:color w:val="000000"/>
          <w:sz w:val="24"/>
          <w:szCs w:val="20"/>
          <w:lang w:eastAsia="pt-BR"/>
        </w:rPr>
        <w:t xml:space="preserve">Pertencem aos Municípios: </w:t>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 xml:space="preserve">I - o produto da arrecadação do imposto da União sobre renda e proventos de qualquer natureza, incidente na fonte sobre rendimentos pagos, a qualquer título, por eles, suas autarquias e pelas fundações que instituírem e mantiverem; </w:t>
      </w:r>
    </w:p>
    <w:p w:rsidR="00154911" w:rsidRPr="00154911" w:rsidRDefault="00154911" w:rsidP="00154911">
      <w:pPr>
        <w:ind w:firstLine="1134"/>
        <w:rPr>
          <w:rFonts w:ascii="Times New Roman" w:eastAsia="Times New Roman" w:hAnsi="Times New Roman" w:cs="Times New Roman"/>
          <w:i/>
          <w:color w:val="0000FF"/>
          <w:sz w:val="24"/>
          <w:szCs w:val="20"/>
          <w:u w:val="single"/>
          <w:lang w:eastAsia="pt-BR"/>
        </w:rPr>
      </w:pPr>
      <w:r w:rsidRPr="00154911">
        <w:rPr>
          <w:rFonts w:ascii="Times New Roman" w:eastAsia="Times New Roman" w:hAnsi="Times New Roman" w:cs="Times New Roman"/>
          <w:sz w:val="24"/>
          <w:szCs w:val="20"/>
          <w:lang w:eastAsia="pt-BR"/>
        </w:rPr>
        <w:t xml:space="preserve">II - cinqüenta por cento do produto da arrecadação do imposto da União sobre a propriedade territorial rural, relativamente aos imóveis neles situados, cabendo a totalidade na hipótese da opção a que se refere o art. 153, § 4º, III; </w:t>
      </w:r>
      <w:bookmarkStart w:id="12" w:name="_Hlt63679586"/>
      <w:r w:rsidRPr="00154911">
        <w:rPr>
          <w:rFonts w:ascii="Times New Roman" w:eastAsia="Times New Roman" w:hAnsi="Times New Roman" w:cs="Times New Roman"/>
          <w:i/>
          <w:sz w:val="24"/>
          <w:szCs w:val="20"/>
          <w:lang w:eastAsia="pt-BR"/>
        </w:rPr>
        <w:fldChar w:fldCharType="begin"/>
      </w:r>
      <w:r w:rsidRPr="00154911">
        <w:rPr>
          <w:rFonts w:ascii="Times New Roman" w:eastAsia="Times New Roman" w:hAnsi="Times New Roman" w:cs="Times New Roman"/>
          <w:i/>
          <w:sz w:val="24"/>
          <w:szCs w:val="20"/>
          <w:lang w:eastAsia="pt-BR"/>
        </w:rPr>
        <w:instrText>HYPERLINK "http://www2.camara.gov.br/internet/legislacao/legin.html/textos/visualizarTexto.html?ideNorma=497205&amp;seqTexto=1&amp;PalavrasDestaque="</w:instrText>
      </w:r>
      <w:r w:rsidRPr="00154911">
        <w:rPr>
          <w:rFonts w:ascii="Times New Roman" w:eastAsia="Times New Roman" w:hAnsi="Times New Roman" w:cs="Times New Roman"/>
          <w:i/>
          <w:sz w:val="24"/>
          <w:szCs w:val="20"/>
          <w:lang w:eastAsia="pt-BR"/>
        </w:rPr>
        <w:fldChar w:fldCharType="separate"/>
      </w:r>
      <w:r w:rsidRPr="00154911">
        <w:rPr>
          <w:rFonts w:ascii="Times New Roman" w:eastAsia="Times New Roman" w:hAnsi="Times New Roman" w:cs="Times New Roman"/>
          <w:i/>
          <w:color w:val="0000FF"/>
          <w:sz w:val="24"/>
          <w:szCs w:val="20"/>
          <w:u w:val="single"/>
          <w:lang w:eastAsia="pt-BR"/>
        </w:rPr>
        <w:t>(Inciso</w:t>
      </w:r>
      <w:bookmarkStart w:id="13" w:name="_Hlt70738037"/>
      <w:r w:rsidRPr="00154911">
        <w:rPr>
          <w:rFonts w:ascii="Times New Roman" w:eastAsia="Times New Roman" w:hAnsi="Times New Roman" w:cs="Times New Roman"/>
          <w:i/>
          <w:color w:val="0000FF"/>
          <w:sz w:val="24"/>
          <w:szCs w:val="20"/>
          <w:u w:val="single"/>
          <w:lang w:eastAsia="pt-BR"/>
        </w:rPr>
        <w:t xml:space="preserve"> </w:t>
      </w:r>
      <w:bookmarkEnd w:id="13"/>
      <w:r w:rsidRPr="00154911">
        <w:rPr>
          <w:rFonts w:ascii="Times New Roman" w:eastAsia="Times New Roman" w:hAnsi="Times New Roman" w:cs="Times New Roman"/>
          <w:i/>
          <w:color w:val="0000FF"/>
          <w:sz w:val="24"/>
          <w:szCs w:val="20"/>
          <w:u w:val="single"/>
          <w:lang w:eastAsia="pt-BR"/>
        </w:rPr>
        <w:t>com redação dada pela Emenda Constitucional nº 42, de 2003)</w:t>
      </w:r>
      <w:bookmarkEnd w:id="12"/>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i/>
          <w:sz w:val="24"/>
          <w:szCs w:val="20"/>
          <w:lang w:eastAsia="pt-BR"/>
        </w:rPr>
        <w:fldChar w:fldCharType="end"/>
      </w:r>
      <w:r w:rsidRPr="00154911">
        <w:rPr>
          <w:rFonts w:ascii="Times New Roman" w:eastAsia="Times New Roman" w:hAnsi="Times New Roman" w:cs="Times New Roman"/>
          <w:color w:val="000000"/>
          <w:sz w:val="24"/>
          <w:szCs w:val="20"/>
          <w:lang w:eastAsia="pt-BR"/>
        </w:rPr>
        <w:t xml:space="preserve">III - cinqüenta por cento do produto da arrecadação do imposto do Estado sobre a propriedade de veículos automotores licenciados em seus territórios; </w:t>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 xml:space="preserve">IV - vinte e cinco por cento do produto da arrecadação do imposto do Estado sobre operações relativas à circulação de mercadorias e sobre prestações de serviços de transporte interestadual e intermunicipal e de comunicação. </w:t>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Parágrafo único.</w:t>
      </w:r>
      <w:r w:rsidRPr="00154911">
        <w:rPr>
          <w:rFonts w:ascii="Times New Roman" w:eastAsia="Times New Roman" w:hAnsi="Times New Roman" w:cs="Times New Roman"/>
          <w:i/>
          <w:color w:val="000000"/>
          <w:sz w:val="24"/>
          <w:szCs w:val="20"/>
          <w:lang w:eastAsia="pt-BR"/>
        </w:rPr>
        <w:t xml:space="preserve"> </w:t>
      </w:r>
      <w:r w:rsidRPr="00154911">
        <w:rPr>
          <w:rFonts w:ascii="Times New Roman" w:eastAsia="Times New Roman" w:hAnsi="Times New Roman" w:cs="Times New Roman"/>
          <w:color w:val="000000"/>
          <w:sz w:val="24"/>
          <w:szCs w:val="20"/>
          <w:lang w:eastAsia="pt-BR"/>
        </w:rPr>
        <w:t xml:space="preserve">As parcelas de receita pertencentes aos Municípios, mencionadas no inciso IV, serão creditadas conforme os seguintes critérios: </w:t>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 xml:space="preserve">I - três quartos, no mínimo, na proporção do valor adicionado nas operações relativas à circulação de mercadorias e nas prestações de serviços, realizadas em seus territórios; </w:t>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 xml:space="preserve">II - até um quarto, de acordo com o que dispuser lei estadual ou, no caso dos Territórios, lei federal. </w:t>
      </w:r>
    </w:p>
    <w:p w:rsidR="00154911" w:rsidRPr="00154911" w:rsidRDefault="00154911" w:rsidP="00154911">
      <w:pPr>
        <w:ind w:firstLine="1134"/>
        <w:rPr>
          <w:rFonts w:ascii="Times New Roman" w:eastAsia="Times New Roman" w:hAnsi="Times New Roman" w:cs="Times New Roman"/>
          <w:b/>
          <w:color w:val="000000"/>
          <w:sz w:val="24"/>
          <w:szCs w:val="20"/>
          <w:lang w:eastAsia="pt-BR"/>
        </w:rPr>
      </w:pP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Art. 159.</w:t>
      </w:r>
      <w:r w:rsidRPr="00154911">
        <w:rPr>
          <w:rFonts w:ascii="Times New Roman" w:eastAsia="Times New Roman" w:hAnsi="Times New Roman" w:cs="Times New Roman"/>
          <w:b/>
          <w:color w:val="000000"/>
          <w:sz w:val="24"/>
          <w:szCs w:val="20"/>
          <w:lang w:eastAsia="pt-BR"/>
        </w:rPr>
        <w:t xml:space="preserve"> </w:t>
      </w:r>
      <w:r w:rsidRPr="00154911">
        <w:rPr>
          <w:rFonts w:ascii="Times New Roman" w:eastAsia="Times New Roman" w:hAnsi="Times New Roman" w:cs="Times New Roman"/>
          <w:color w:val="000000"/>
          <w:sz w:val="24"/>
          <w:szCs w:val="20"/>
          <w:lang w:eastAsia="pt-BR"/>
        </w:rPr>
        <w:t xml:space="preserve">A União entregará: </w:t>
      </w:r>
    </w:p>
    <w:p w:rsidR="00154911" w:rsidRPr="00154911" w:rsidRDefault="00154911" w:rsidP="00154911">
      <w:pPr>
        <w:ind w:firstLine="1134"/>
        <w:rPr>
          <w:rFonts w:ascii="Times New Roman" w:eastAsia="Times New Roman" w:hAnsi="Times New Roman" w:cs="Times New Roman"/>
          <w:i/>
          <w:color w:val="000000"/>
          <w:sz w:val="24"/>
          <w:szCs w:val="20"/>
          <w:lang w:eastAsia="pt-BR"/>
        </w:rPr>
      </w:pPr>
      <w:r w:rsidRPr="00154911">
        <w:rPr>
          <w:rFonts w:ascii="Times New Roman" w:eastAsia="Times New Roman" w:hAnsi="Times New Roman" w:cs="Times New Roman"/>
          <w:color w:val="000000"/>
          <w:sz w:val="24"/>
          <w:szCs w:val="20"/>
          <w:lang w:eastAsia="pt-BR"/>
        </w:rPr>
        <w:t xml:space="preserve">I - do produto da arrecadação dos impostos sobre renda e proventos de qualquer natureza e sobre produtos industrializados, 49% (quarenta e nove por cento), na seguinte forma: </w:t>
      </w:r>
      <w:hyperlink r:id="rId8" w:history="1">
        <w:r w:rsidRPr="00154911">
          <w:rPr>
            <w:rFonts w:ascii="Times New Roman" w:eastAsia="Times New Roman" w:hAnsi="Times New Roman" w:cs="Times New Roman"/>
            <w:i/>
            <w:color w:val="0000FF"/>
            <w:sz w:val="24"/>
            <w:szCs w:val="20"/>
            <w:u w:val="single"/>
            <w:lang w:eastAsia="pt-BR"/>
          </w:rPr>
          <w:t>(“Caput” do inciso com redação dada pela Emenda Constitucional nº 84, de 2014, publicada no DOU de 3/12/2014, em vigor na data de sua publicação, com efeitos financeiros a partir de 1º de janeiro do exercício subsequente)</w:t>
        </w:r>
      </w:hyperlink>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 xml:space="preserve">a) vinte e um inteiros e cinco décimos por cento ao Fundo de Participação dos Estados e do Distrito Federal; </w:t>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 xml:space="preserve">b) vinte e dois inteiros e cinco décimos por cento ao Fundo de Participação dos Municípios; </w:t>
      </w:r>
    </w:p>
    <w:p w:rsidR="00154911" w:rsidRPr="00154911" w:rsidRDefault="00154911" w:rsidP="00154911">
      <w:pPr>
        <w:ind w:firstLine="1134"/>
        <w:rPr>
          <w:rFonts w:ascii="Times New Roman" w:eastAsia="Times New Roman" w:hAnsi="Times New Roman" w:cs="Times New Roman"/>
          <w:color w:val="000000"/>
          <w:sz w:val="24"/>
          <w:szCs w:val="20"/>
          <w:lang w:eastAsia="pt-BR"/>
        </w:rPr>
      </w:pPr>
      <w:r w:rsidRPr="00154911">
        <w:rPr>
          <w:rFonts w:ascii="Times New Roman" w:eastAsia="Times New Roman" w:hAnsi="Times New Roman" w:cs="Times New Roman"/>
          <w:color w:val="000000"/>
          <w:sz w:val="24"/>
          <w:szCs w:val="20"/>
          <w:lang w:eastAsia="pt-BR"/>
        </w:rPr>
        <w:t xml:space="preserve">c) três por cento, para aplicação em programas de financiamento ao setor produtivo das Regiões Norte, Nordeste e Centro-Oeste, através de suas instituições financeiras de caráter regional, de acordo com os planos regionais de desenvolvimento, ficando assegurada ao semi-árido do Nordeste a metade dos recursos destinados à região, na forma que a lei estabelecer; </w:t>
      </w:r>
    </w:p>
    <w:p w:rsidR="00154911" w:rsidRPr="00154911" w:rsidRDefault="00154911" w:rsidP="00154911">
      <w:pPr>
        <w:ind w:firstLine="1134"/>
        <w:rPr>
          <w:rFonts w:ascii="Times New Roman" w:eastAsia="Times New Roman" w:hAnsi="Times New Roman" w:cs="Times New Roman"/>
          <w:i/>
          <w:color w:val="0000FF"/>
          <w:sz w:val="24"/>
          <w:szCs w:val="20"/>
          <w:u w:val="single"/>
          <w:lang w:eastAsia="pt-BR"/>
        </w:rPr>
      </w:pPr>
      <w:r w:rsidRPr="00154911">
        <w:rPr>
          <w:rFonts w:ascii="Times New Roman" w:eastAsia="Times New Roman" w:hAnsi="Times New Roman" w:cs="Times New Roman"/>
          <w:color w:val="000000"/>
          <w:sz w:val="24"/>
          <w:szCs w:val="20"/>
          <w:lang w:eastAsia="pt-BR"/>
        </w:rPr>
        <w:t xml:space="preserve">d) um por cento ao Fundo de Participação dos Municípios, que será entregue no primeiro decêndio do mês de dezembro de cada ano; </w:t>
      </w:r>
      <w:r w:rsidRPr="00154911">
        <w:rPr>
          <w:rFonts w:ascii="Times New Roman" w:eastAsia="Times New Roman" w:hAnsi="Times New Roman" w:cs="Times New Roman"/>
          <w:i/>
          <w:color w:val="000000"/>
          <w:sz w:val="24"/>
          <w:szCs w:val="20"/>
          <w:lang w:eastAsia="pt-BR"/>
        </w:rPr>
        <w:fldChar w:fldCharType="begin"/>
      </w:r>
      <w:r w:rsidRPr="00154911">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"http://www2.camara.gov.br/internet/legislacao/legin.html/textos/visualizarTexto.html?ideNorma=559897&amp;seqTexto=82343&amp;PalavrasDestaque=" </w:instrText>
      </w:r>
      <w:r w:rsidRPr="00154911">
        <w:rPr>
          <w:rFonts w:ascii="Times New Roman" w:eastAsia="Times New Roman" w:hAnsi="Times New Roman" w:cs="Times New Roman"/>
          <w:i/>
          <w:color w:val="000000"/>
          <w:sz w:val="24"/>
          <w:szCs w:val="20"/>
          <w:lang w:eastAsia="pt-BR"/>
        </w:rPr>
        <w:fldChar w:fldCharType="separate"/>
      </w:r>
      <w:r w:rsidRPr="00154911">
        <w:rPr>
          <w:rFonts w:ascii="Times New Roman" w:eastAsia="Times New Roman" w:hAnsi="Times New Roman" w:cs="Times New Roman"/>
          <w:i/>
          <w:color w:val="0000FF"/>
          <w:sz w:val="24"/>
          <w:szCs w:val="20"/>
          <w:u w:val="single"/>
          <w:lang w:eastAsia="pt-BR"/>
        </w:rPr>
        <w:t>(Alínea acrescida pela Emenda Constitucional nº 55, de 2007)</w:t>
      </w:r>
    </w:p>
    <w:p w:rsidR="00154911" w:rsidRPr="00154911" w:rsidRDefault="00154911" w:rsidP="00154911">
      <w:pPr>
        <w:ind w:firstLine="1134"/>
        <w:rPr>
          <w:rFonts w:ascii="Times New Roman" w:eastAsia="Times New Roman" w:hAnsi="Times New Roman" w:cs="Times New Roman"/>
          <w:i/>
          <w:color w:val="000000"/>
          <w:sz w:val="24"/>
          <w:szCs w:val="20"/>
          <w:lang w:eastAsia="pt-BR"/>
        </w:rPr>
      </w:pPr>
      <w:r w:rsidRPr="00154911">
        <w:rPr>
          <w:rFonts w:ascii="Times New Roman" w:eastAsia="Times New Roman" w:hAnsi="Times New Roman" w:cs="Times New Roman"/>
          <w:i/>
          <w:color w:val="000000"/>
          <w:sz w:val="24"/>
          <w:szCs w:val="20"/>
          <w:lang w:eastAsia="pt-BR"/>
        </w:rPr>
        <w:fldChar w:fldCharType="end"/>
      </w:r>
      <w:r w:rsidRPr="00154911">
        <w:rPr>
          <w:rFonts w:ascii="Times New Roman" w:eastAsia="Times New Roman" w:hAnsi="Times New Roman" w:cs="Times New Roman"/>
          <w:color w:val="000000"/>
          <w:sz w:val="24"/>
          <w:szCs w:val="20"/>
          <w:lang w:eastAsia="pt-BR"/>
        </w:rPr>
        <w:t xml:space="preserve">e) 1% (um por cento) ao Fundo de Participação dos Municípios, que será entregue no primeiro decêndio do mês de julho de cada ano; </w:t>
      </w:r>
      <w:hyperlink r:id="rId9" w:history="1">
        <w:r w:rsidRPr="00154911">
          <w:rPr>
            <w:rFonts w:ascii="Times New Roman" w:eastAsia="Times New Roman" w:hAnsi="Times New Roman" w:cs="Times New Roman"/>
            <w:i/>
            <w:color w:val="0000FF"/>
            <w:sz w:val="24"/>
            <w:szCs w:val="20"/>
            <w:u w:val="single"/>
            <w:lang w:eastAsia="pt-BR"/>
          </w:rPr>
          <w:t>(Alínea acrescida pela Emenda Constitucional nº 84, de 2014. publicada no DOU de 3/12/2014, em vigor na data de sua publicação, com efeitos financeiros a partir de 1º de janeiro do exercício subsequente)</w:t>
        </w:r>
      </w:hyperlink>
    </w:p>
    <w:p w:rsidR="00154911" w:rsidRPr="00154911" w:rsidRDefault="00154911" w:rsidP="00154911">
      <w:pPr>
        <w:ind w:firstLine="1134"/>
        <w:rPr>
          <w:rFonts w:ascii="Times New Roman" w:eastAsia="Times New Roman" w:hAnsi="Times New Roman" w:cs="Times New Roman"/>
          <w:color w:val="000000"/>
          <w:sz w:val="24"/>
          <w:szCs w:val="20"/>
          <w:lang w:eastAsia="pt-BR"/>
        </w:rPr>
      </w:pPr>
      <w:r w:rsidRPr="00154911">
        <w:rPr>
          <w:rFonts w:ascii="Times New Roman" w:eastAsia="Times New Roman" w:hAnsi="Times New Roman" w:cs="Times New Roman"/>
          <w:color w:val="000000"/>
          <w:sz w:val="24"/>
          <w:szCs w:val="20"/>
          <w:lang w:eastAsia="pt-BR"/>
        </w:rPr>
        <w:t xml:space="preserve">II - do produto da arrecadação do imposto sobre produtos industrializados, dez por cento aos Estados e ao Distrito Federal, proporcionalmente ao valor das respectivas exportações de produtos industrializados; </w:t>
      </w:r>
    </w:p>
    <w:p w:rsidR="00154911" w:rsidRPr="00154911" w:rsidRDefault="00154911" w:rsidP="00154911">
      <w:pPr>
        <w:ind w:firstLine="1134"/>
        <w:rPr>
          <w:rFonts w:ascii="Times New Roman" w:eastAsia="Times New Roman" w:hAnsi="Times New Roman" w:cs="Times New Roman"/>
          <w:i/>
          <w:snapToGrid w:val="0"/>
          <w:color w:val="0000FF"/>
          <w:sz w:val="24"/>
          <w:szCs w:val="20"/>
          <w:u w:val="single"/>
          <w:lang w:eastAsia="pt-BR"/>
        </w:rPr>
      </w:pPr>
      <w:r w:rsidRPr="00154911">
        <w:rPr>
          <w:rFonts w:ascii="Times New Roman" w:eastAsia="Times New Roman" w:hAnsi="Times New Roman" w:cs="Times New Roman"/>
          <w:snapToGrid w:val="0"/>
          <w:sz w:val="24"/>
          <w:szCs w:val="20"/>
          <w:lang w:eastAsia="pt-BR"/>
        </w:rPr>
        <w:t xml:space="preserve">III - do produto da arrecadação da contribuição de intervenção no domínio econômico prevista no art. 177, § 4º, 29% (vinte e nove por cento) para os Estados e o Distrito </w:t>
      </w:r>
      <w:r w:rsidRPr="00154911">
        <w:rPr>
          <w:rFonts w:ascii="Times New Roman" w:eastAsia="Times New Roman" w:hAnsi="Times New Roman" w:cs="Times New Roman"/>
          <w:snapToGrid w:val="0"/>
          <w:sz w:val="24"/>
          <w:szCs w:val="20"/>
          <w:lang w:eastAsia="pt-BR"/>
        </w:rPr>
        <w:lastRenderedPageBreak/>
        <w:t xml:space="preserve">Federal, distribuídos na forma da lei, observada a destinação a que refere o inciso II, </w:t>
      </w:r>
      <w:r w:rsidRPr="00154911">
        <w:rPr>
          <w:rFonts w:ascii="Times New Roman" w:eastAsia="Times New Roman" w:hAnsi="Times New Roman" w:cs="Times New Roman"/>
          <w:i/>
          <w:snapToGrid w:val="0"/>
          <w:sz w:val="24"/>
          <w:szCs w:val="20"/>
          <w:lang w:eastAsia="pt-BR"/>
        </w:rPr>
        <w:t>c</w:t>
      </w:r>
      <w:r w:rsidRPr="00154911">
        <w:rPr>
          <w:rFonts w:ascii="Times New Roman" w:eastAsia="Times New Roman" w:hAnsi="Times New Roman" w:cs="Times New Roman"/>
          <w:snapToGrid w:val="0"/>
          <w:sz w:val="24"/>
          <w:szCs w:val="20"/>
          <w:lang w:eastAsia="pt-BR"/>
        </w:rPr>
        <w:t xml:space="preserve">, do referido parágrafo. </w:t>
      </w:r>
      <w:r w:rsidRPr="00154911">
        <w:rPr>
          <w:rFonts w:ascii="Times New Roman" w:eastAsia="Times New Roman" w:hAnsi="Times New Roman" w:cs="Times New Roman"/>
          <w:i/>
          <w:snapToGrid w:val="0"/>
          <w:sz w:val="24"/>
          <w:szCs w:val="20"/>
          <w:lang w:eastAsia="pt-BR"/>
        </w:rPr>
        <w:fldChar w:fldCharType="begin"/>
      </w:r>
      <w:r w:rsidRPr="00154911">
        <w:rPr>
          <w:rFonts w:ascii="Times New Roman" w:eastAsia="Times New Roman" w:hAnsi="Times New Roman" w:cs="Times New Roman"/>
          <w:i/>
          <w:snapToGrid w:val="0"/>
          <w:sz w:val="24"/>
          <w:szCs w:val="20"/>
          <w:lang w:eastAsia="pt-BR"/>
        </w:rPr>
        <w:instrText>HYPERLINK "http://www2.camara.gov.br/internet/legislacao/legin.html/textos/visualizarTexto.html?ideNorma=532827&amp;seqTexto=15212&amp;PalavrasDestaque="</w:instrText>
      </w:r>
      <w:r w:rsidRPr="00154911">
        <w:rPr>
          <w:rFonts w:ascii="Times New Roman" w:eastAsia="Times New Roman" w:hAnsi="Times New Roman" w:cs="Times New Roman"/>
          <w:i/>
          <w:snapToGrid w:val="0"/>
          <w:sz w:val="24"/>
          <w:szCs w:val="20"/>
          <w:lang w:eastAsia="pt-BR"/>
        </w:rPr>
        <w:fldChar w:fldCharType="separate"/>
      </w:r>
      <w:r w:rsidRPr="00154911">
        <w:rPr>
          <w:rFonts w:ascii="Times New Roman" w:eastAsia="Times New Roman" w:hAnsi="Times New Roman" w:cs="Times New Roman"/>
          <w:i/>
          <w:snapToGrid w:val="0"/>
          <w:color w:val="0000FF"/>
          <w:sz w:val="24"/>
          <w:szCs w:val="20"/>
          <w:u w:val="single"/>
          <w:lang w:eastAsia="pt-BR"/>
        </w:rPr>
        <w:t xml:space="preserve">(Inciso com redação dada pela Emenda </w:t>
      </w:r>
      <w:bookmarkStart w:id="14" w:name="_Hlt76441774"/>
      <w:r w:rsidRPr="00154911">
        <w:rPr>
          <w:rFonts w:ascii="Times New Roman" w:eastAsia="Times New Roman" w:hAnsi="Times New Roman" w:cs="Times New Roman"/>
          <w:i/>
          <w:snapToGrid w:val="0"/>
          <w:color w:val="0000FF"/>
          <w:sz w:val="24"/>
          <w:szCs w:val="20"/>
          <w:u w:val="single"/>
          <w:lang w:eastAsia="pt-BR"/>
        </w:rPr>
        <w:t>C</w:t>
      </w:r>
      <w:bookmarkEnd w:id="14"/>
      <w:r w:rsidRPr="00154911">
        <w:rPr>
          <w:rFonts w:ascii="Times New Roman" w:eastAsia="Times New Roman" w:hAnsi="Times New Roman" w:cs="Times New Roman"/>
          <w:i/>
          <w:snapToGrid w:val="0"/>
          <w:color w:val="0000FF"/>
          <w:sz w:val="24"/>
          <w:szCs w:val="20"/>
          <w:u w:val="single"/>
          <w:lang w:eastAsia="pt-BR"/>
        </w:rPr>
        <w:t>onstitucional nº 4</w:t>
      </w:r>
      <w:bookmarkStart w:id="15" w:name="_Hlt93313797"/>
      <w:r w:rsidRPr="00154911">
        <w:rPr>
          <w:rFonts w:ascii="Times New Roman" w:eastAsia="Times New Roman" w:hAnsi="Times New Roman" w:cs="Times New Roman"/>
          <w:i/>
          <w:snapToGrid w:val="0"/>
          <w:color w:val="0000FF"/>
          <w:sz w:val="24"/>
          <w:szCs w:val="20"/>
          <w:u w:val="single"/>
          <w:lang w:eastAsia="pt-BR"/>
        </w:rPr>
        <w:t>4</w:t>
      </w:r>
      <w:bookmarkEnd w:id="15"/>
      <w:r w:rsidRPr="00154911">
        <w:rPr>
          <w:rFonts w:ascii="Times New Roman" w:eastAsia="Times New Roman" w:hAnsi="Times New Roman" w:cs="Times New Roman"/>
          <w:i/>
          <w:snapToGrid w:val="0"/>
          <w:color w:val="0000FF"/>
          <w:sz w:val="24"/>
          <w:szCs w:val="20"/>
          <w:u w:val="single"/>
          <w:lang w:eastAsia="pt-BR"/>
        </w:rPr>
        <w:t>, de 2004)</w:t>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i/>
          <w:snapToGrid w:val="0"/>
          <w:sz w:val="24"/>
          <w:szCs w:val="20"/>
          <w:lang w:eastAsia="pt-BR"/>
        </w:rPr>
        <w:fldChar w:fldCharType="end"/>
      </w:r>
      <w:r w:rsidRPr="00154911">
        <w:rPr>
          <w:rFonts w:ascii="Times New Roman" w:eastAsia="Times New Roman" w:hAnsi="Times New Roman" w:cs="Times New Roman"/>
          <w:color w:val="000000"/>
          <w:sz w:val="24"/>
          <w:szCs w:val="20"/>
          <w:lang w:eastAsia="pt-BR"/>
        </w:rPr>
        <w:t xml:space="preserve">§ 1º Para efeito de cálculo da entrega a ser efetuada de acordo com o previsto no inciso I, excluir-se-á a parcela da arrecadação do imposto de renda e proventos de qualquer natureza pertencente aos Estados, ao Distrito Federal e aos Municípios, nos termos do disposto nos arts. 157, I, e 158, I. </w:t>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 xml:space="preserve">§ 2º A nenhuma unidade federada poderá ser destinada parcela superior a vinte por cento do montante a que se refere o inciso II, devendo o eventual excedente ser distribuído entre os demais participantes, mantido, em relação a esses, o critério de partilha nele estabelecido. </w:t>
      </w:r>
    </w:p>
    <w:p w:rsidR="00154911" w:rsidRPr="00154911" w:rsidRDefault="00154911" w:rsidP="00154911">
      <w:pPr>
        <w:ind w:firstLine="1134"/>
        <w:rPr>
          <w:rFonts w:ascii="Times New Roman" w:eastAsia="Times New Roman" w:hAnsi="Times New Roman" w:cs="Times New Roman"/>
          <w:color w:val="000000"/>
          <w:sz w:val="24"/>
          <w:szCs w:val="20"/>
          <w:lang w:eastAsia="pt-BR"/>
        </w:rPr>
      </w:pPr>
      <w:r w:rsidRPr="00154911">
        <w:rPr>
          <w:rFonts w:ascii="Times New Roman" w:eastAsia="Times New Roman" w:hAnsi="Times New Roman" w:cs="Times New Roman"/>
          <w:color w:val="000000"/>
          <w:sz w:val="24"/>
          <w:szCs w:val="20"/>
          <w:lang w:eastAsia="pt-BR"/>
        </w:rPr>
        <w:t xml:space="preserve">§ 3º Os Estados entregarão aos respectivos Municípios vinte e cinco por cento dos recursos que receberem nos termos do inciso II, observados os critérios estabelecidos no art. 158, parágrafo único, I e II. </w:t>
      </w:r>
    </w:p>
    <w:p w:rsidR="00154911" w:rsidRPr="00154911" w:rsidRDefault="00154911" w:rsidP="00154911">
      <w:pPr>
        <w:ind w:firstLine="1134"/>
        <w:rPr>
          <w:rFonts w:ascii="Times New Roman" w:eastAsia="Times New Roman" w:hAnsi="Times New Roman" w:cs="Times New Roman"/>
          <w:i/>
          <w:snapToGrid w:val="0"/>
          <w:color w:val="0000FF"/>
          <w:sz w:val="24"/>
          <w:szCs w:val="20"/>
          <w:u w:val="single"/>
          <w:lang w:eastAsia="pt-BR"/>
        </w:rPr>
      </w:pPr>
      <w:r w:rsidRPr="00154911">
        <w:rPr>
          <w:rFonts w:ascii="Times New Roman" w:eastAsia="Times New Roman" w:hAnsi="Times New Roman" w:cs="Times New Roman"/>
          <w:snapToGrid w:val="0"/>
          <w:sz w:val="24"/>
          <w:szCs w:val="20"/>
          <w:lang w:eastAsia="pt-BR"/>
        </w:rPr>
        <w:t xml:space="preserve">§ 4º Do montante de recursos de que trata o inciso III que cabe a cada Estado, vinte e cinco por cento serão destinados aos seus Municípios, na forma da lei a que se refere o mencionado inciso. </w:t>
      </w:r>
      <w:r w:rsidRPr="00154911">
        <w:rPr>
          <w:rFonts w:ascii="Times New Roman" w:eastAsia="Times New Roman" w:hAnsi="Times New Roman" w:cs="Times New Roman"/>
          <w:i/>
          <w:snapToGrid w:val="0"/>
          <w:sz w:val="24"/>
          <w:szCs w:val="20"/>
          <w:lang w:eastAsia="pt-BR"/>
        </w:rPr>
        <w:fldChar w:fldCharType="begin"/>
      </w:r>
      <w:r w:rsidRPr="00154911">
        <w:rPr>
          <w:rFonts w:ascii="Times New Roman" w:eastAsia="Times New Roman" w:hAnsi="Times New Roman" w:cs="Times New Roman"/>
          <w:i/>
          <w:snapToGrid w:val="0"/>
          <w:sz w:val="24"/>
          <w:szCs w:val="20"/>
          <w:lang w:eastAsia="pt-BR"/>
        </w:rPr>
        <w:instrText>HYPERLINK "http://www2.camara.gov.br/internet/legislacao/legin.html/textos/visualizarTexto.html?ideNorma=497205&amp;seqTexto=1&amp;PalavrasDestaque="</w:instrText>
      </w:r>
      <w:r w:rsidRPr="00154911">
        <w:rPr>
          <w:rFonts w:ascii="Times New Roman" w:eastAsia="Times New Roman" w:hAnsi="Times New Roman" w:cs="Times New Roman"/>
          <w:i/>
          <w:snapToGrid w:val="0"/>
          <w:sz w:val="24"/>
          <w:szCs w:val="20"/>
          <w:lang w:eastAsia="pt-BR"/>
        </w:rPr>
        <w:fldChar w:fldCharType="separate"/>
      </w:r>
      <w:r w:rsidRPr="00154911">
        <w:rPr>
          <w:rFonts w:ascii="Times New Roman" w:eastAsia="Times New Roman" w:hAnsi="Times New Roman" w:cs="Times New Roman"/>
          <w:i/>
          <w:snapToGrid w:val="0"/>
          <w:color w:val="0000FF"/>
          <w:sz w:val="24"/>
          <w:szCs w:val="20"/>
          <w:u w:val="single"/>
          <w:lang w:eastAsia="pt-BR"/>
        </w:rPr>
        <w:t>(Parágrafo acrescido pela Emenda Constitucional nº 42, de 2003)</w:t>
      </w:r>
    </w:p>
    <w:p w:rsidR="00154911" w:rsidRPr="00154911" w:rsidRDefault="00154911" w:rsidP="00154911">
      <w:pPr>
        <w:ind w:firstLine="1134"/>
        <w:rPr>
          <w:rFonts w:ascii="Times New Roman" w:eastAsia="Times New Roman" w:hAnsi="Times New Roman" w:cs="Times New Roman"/>
          <w:b/>
          <w:color w:val="000000"/>
          <w:sz w:val="24"/>
          <w:szCs w:val="20"/>
          <w:lang w:eastAsia="pt-BR"/>
        </w:rPr>
      </w:pPr>
      <w:r w:rsidRPr="00154911">
        <w:rPr>
          <w:rFonts w:ascii="Times New Roman" w:eastAsia="Times New Roman" w:hAnsi="Times New Roman" w:cs="Times New Roman"/>
          <w:i/>
          <w:snapToGrid w:val="0"/>
          <w:sz w:val="24"/>
          <w:szCs w:val="20"/>
          <w:lang w:eastAsia="pt-BR"/>
        </w:rPr>
        <w:fldChar w:fldCharType="end"/>
      </w:r>
    </w:p>
    <w:p w:rsidR="00154911" w:rsidRPr="00154911" w:rsidRDefault="00154911" w:rsidP="00154911">
      <w:pPr>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color w:val="000000"/>
          <w:sz w:val="24"/>
          <w:szCs w:val="20"/>
          <w:lang w:eastAsia="pt-BR"/>
        </w:rPr>
        <w:t>Art. 160.</w:t>
      </w:r>
      <w:r w:rsidRPr="00154911">
        <w:rPr>
          <w:rFonts w:ascii="Times New Roman" w:eastAsia="Times New Roman" w:hAnsi="Times New Roman" w:cs="Times New Roman"/>
          <w:sz w:val="24"/>
          <w:szCs w:val="20"/>
          <w:lang w:eastAsia="pt-BR"/>
        </w:rPr>
        <w:t xml:space="preserve"> </w:t>
      </w:r>
      <w:r w:rsidRPr="00154911">
        <w:rPr>
          <w:rFonts w:ascii="Times New Roman" w:eastAsia="Times New Roman" w:hAnsi="Times New Roman" w:cs="Times New Roman"/>
          <w:color w:val="000000"/>
          <w:sz w:val="24"/>
          <w:szCs w:val="20"/>
          <w:lang w:eastAsia="pt-BR"/>
        </w:rPr>
        <w:t xml:space="preserve">É vedada a retenção ou qualquer restrição à entrega e ao emprego dos recursos atribuídos, nesta Seção, aos Estados, ao Distrito Federal e aos Municípios, neles compreendidos adicionais e acréscimos relativos a impostos. </w:t>
      </w:r>
    </w:p>
    <w:p w:rsidR="00154911" w:rsidRPr="00154911" w:rsidRDefault="00154911" w:rsidP="00154911">
      <w:pPr>
        <w:ind w:firstLine="1134"/>
        <w:rPr>
          <w:rFonts w:ascii="Times New Roman" w:eastAsia="Times New Roman" w:hAnsi="Times New Roman" w:cs="Times New Roman"/>
          <w:i/>
          <w:snapToGrid w:val="0"/>
          <w:color w:val="0000FF"/>
          <w:sz w:val="24"/>
          <w:szCs w:val="20"/>
          <w:u w:val="single"/>
          <w:lang w:eastAsia="pt-BR"/>
        </w:rPr>
      </w:pPr>
      <w:r w:rsidRPr="00154911">
        <w:rPr>
          <w:rFonts w:ascii="Times New Roman" w:eastAsia="Times New Roman" w:hAnsi="Times New Roman" w:cs="Times New Roman"/>
          <w:snapToGrid w:val="0"/>
          <w:sz w:val="24"/>
          <w:szCs w:val="20"/>
          <w:lang w:eastAsia="pt-BR"/>
        </w:rPr>
        <w:t xml:space="preserve">Parágrafo único. A vedação prevista neste artigo não impede a União e os Estados de condicionarem a entrega de recursos: </w:t>
      </w:r>
      <w:r w:rsidRPr="00154911">
        <w:rPr>
          <w:rFonts w:ascii="Times New Roman" w:eastAsia="Times New Roman" w:hAnsi="Times New Roman" w:cs="Times New Roman"/>
          <w:b/>
          <w:i/>
          <w:snapToGrid w:val="0"/>
          <w:sz w:val="24"/>
          <w:szCs w:val="20"/>
          <w:lang w:eastAsia="pt-BR"/>
        </w:rPr>
        <w:fldChar w:fldCharType="begin"/>
      </w:r>
      <w:r w:rsidRPr="00154911">
        <w:rPr>
          <w:rFonts w:ascii="Times New Roman" w:eastAsia="Times New Roman" w:hAnsi="Times New Roman" w:cs="Times New Roman"/>
          <w:b/>
          <w:i/>
          <w:snapToGrid w:val="0"/>
          <w:sz w:val="24"/>
          <w:szCs w:val="20"/>
          <w:lang w:eastAsia="pt-BR"/>
        </w:rPr>
        <w:instrText>HYPERLINK "http://www2.camara.gov.br/internet/legislacao/legin.html/visualizarNorma.html?ideNorma=354961&amp;PalavrasDestaque="</w:instrText>
      </w:r>
      <w:r w:rsidRPr="00154911">
        <w:rPr>
          <w:rFonts w:ascii="Times New Roman" w:eastAsia="Times New Roman" w:hAnsi="Times New Roman" w:cs="Times New Roman"/>
          <w:b/>
          <w:i/>
          <w:snapToGrid w:val="0"/>
          <w:sz w:val="24"/>
          <w:szCs w:val="20"/>
          <w:lang w:eastAsia="pt-BR"/>
        </w:rPr>
        <w:fldChar w:fldCharType="separate"/>
      </w:r>
      <w:r w:rsidRPr="00154911">
        <w:rPr>
          <w:rFonts w:ascii="Times New Roman" w:eastAsia="Times New Roman" w:hAnsi="Times New Roman" w:cs="Times New Roman"/>
          <w:i/>
          <w:snapToGrid w:val="0"/>
          <w:color w:val="0000FF"/>
          <w:sz w:val="24"/>
          <w:szCs w:val="20"/>
          <w:u w:val="single"/>
          <w:lang w:eastAsia="pt-BR"/>
        </w:rPr>
        <w:t>(Parágrafo único com redação dada pela Emenda Constitucion</w:t>
      </w:r>
      <w:bookmarkStart w:id="16" w:name="_Hlt70738058"/>
      <w:r w:rsidRPr="00154911">
        <w:rPr>
          <w:rFonts w:ascii="Times New Roman" w:eastAsia="Times New Roman" w:hAnsi="Times New Roman" w:cs="Times New Roman"/>
          <w:i/>
          <w:snapToGrid w:val="0"/>
          <w:color w:val="0000FF"/>
          <w:sz w:val="24"/>
          <w:szCs w:val="20"/>
          <w:u w:val="single"/>
          <w:lang w:eastAsia="pt-BR"/>
        </w:rPr>
        <w:t>a</w:t>
      </w:r>
      <w:bookmarkEnd w:id="16"/>
      <w:r w:rsidRPr="00154911">
        <w:rPr>
          <w:rFonts w:ascii="Times New Roman" w:eastAsia="Times New Roman" w:hAnsi="Times New Roman" w:cs="Times New Roman"/>
          <w:i/>
          <w:snapToGrid w:val="0"/>
          <w:color w:val="0000FF"/>
          <w:sz w:val="24"/>
          <w:szCs w:val="20"/>
          <w:u w:val="single"/>
          <w:lang w:eastAsia="pt-BR"/>
        </w:rPr>
        <w:t>l nº 29, de 2000)</w:t>
      </w:r>
    </w:p>
    <w:p w:rsidR="00154911" w:rsidRPr="00154911" w:rsidRDefault="00154911" w:rsidP="00154911">
      <w:pPr>
        <w:ind w:firstLine="1134"/>
        <w:rPr>
          <w:rFonts w:ascii="Times New Roman" w:eastAsia="Times New Roman" w:hAnsi="Times New Roman" w:cs="Times New Roman"/>
          <w:i/>
          <w:snapToGrid w:val="0"/>
          <w:color w:val="0000FF"/>
          <w:sz w:val="24"/>
          <w:szCs w:val="20"/>
          <w:u w:val="single"/>
          <w:lang w:eastAsia="pt-BR"/>
        </w:rPr>
      </w:pPr>
      <w:r w:rsidRPr="00154911">
        <w:rPr>
          <w:rFonts w:ascii="Times New Roman" w:eastAsia="Times New Roman" w:hAnsi="Times New Roman" w:cs="Times New Roman"/>
          <w:b/>
          <w:i/>
          <w:snapToGrid w:val="0"/>
          <w:sz w:val="24"/>
          <w:szCs w:val="20"/>
          <w:lang w:eastAsia="pt-BR"/>
        </w:rPr>
        <w:fldChar w:fldCharType="end"/>
      </w:r>
      <w:r w:rsidRPr="00154911">
        <w:rPr>
          <w:rFonts w:ascii="Times New Roman" w:eastAsia="Times New Roman" w:hAnsi="Times New Roman" w:cs="Times New Roman"/>
          <w:snapToGrid w:val="0"/>
          <w:sz w:val="24"/>
          <w:szCs w:val="20"/>
          <w:lang w:eastAsia="pt-BR"/>
        </w:rPr>
        <w:t xml:space="preserve">I – ao pagamento de seus créditos, inclusive de suas autarquias; </w:t>
      </w:r>
      <w:r w:rsidRPr="00154911">
        <w:rPr>
          <w:rFonts w:ascii="Times New Roman" w:eastAsia="Times New Roman" w:hAnsi="Times New Roman" w:cs="Times New Roman"/>
          <w:b/>
          <w:i/>
          <w:snapToGrid w:val="0"/>
          <w:sz w:val="24"/>
          <w:szCs w:val="20"/>
          <w:lang w:eastAsia="pt-BR"/>
        </w:rPr>
        <w:fldChar w:fldCharType="begin"/>
      </w:r>
      <w:r w:rsidRPr="00154911">
        <w:rPr>
          <w:rFonts w:ascii="Times New Roman" w:eastAsia="Times New Roman" w:hAnsi="Times New Roman" w:cs="Times New Roman"/>
          <w:b/>
          <w:i/>
          <w:snapToGrid w:val="0"/>
          <w:sz w:val="24"/>
          <w:szCs w:val="20"/>
          <w:lang w:eastAsia="pt-BR"/>
        </w:rPr>
        <w:instrText>HYPERLINK "http://www2.camara.gov.br/internet/legislacao/legin.html/visualizarNorma.html?ideNorma=354961&amp;PalavrasDestaque="</w:instrText>
      </w:r>
      <w:r w:rsidRPr="00154911">
        <w:rPr>
          <w:rFonts w:ascii="Times New Roman" w:eastAsia="Times New Roman" w:hAnsi="Times New Roman" w:cs="Times New Roman"/>
          <w:b/>
          <w:i/>
          <w:snapToGrid w:val="0"/>
          <w:sz w:val="24"/>
          <w:szCs w:val="20"/>
          <w:lang w:eastAsia="pt-BR"/>
        </w:rPr>
        <w:fldChar w:fldCharType="separate"/>
      </w:r>
      <w:r w:rsidRPr="00154911">
        <w:rPr>
          <w:rFonts w:ascii="Times New Roman" w:eastAsia="Times New Roman" w:hAnsi="Times New Roman" w:cs="Times New Roman"/>
          <w:i/>
          <w:snapToGrid w:val="0"/>
          <w:color w:val="0000FF"/>
          <w:sz w:val="24"/>
          <w:szCs w:val="20"/>
          <w:u w:val="single"/>
          <w:lang w:eastAsia="pt-BR"/>
        </w:rPr>
        <w:t>(Inciso acrescido pela Emenda Constitucional nº 29, de 13/09/00)</w:t>
      </w:r>
    </w:p>
    <w:p w:rsidR="00154911" w:rsidRPr="00154911" w:rsidRDefault="00154911" w:rsidP="00154911">
      <w:pPr>
        <w:ind w:firstLine="1134"/>
        <w:rPr>
          <w:rFonts w:ascii="Times New Roman" w:eastAsia="Times New Roman" w:hAnsi="Times New Roman" w:cs="Times New Roman"/>
          <w:i/>
          <w:snapToGrid w:val="0"/>
          <w:color w:val="0000FF"/>
          <w:sz w:val="24"/>
          <w:szCs w:val="20"/>
          <w:u w:val="single"/>
          <w:lang w:eastAsia="pt-BR"/>
        </w:rPr>
      </w:pPr>
      <w:r w:rsidRPr="00154911">
        <w:rPr>
          <w:rFonts w:ascii="Times New Roman" w:eastAsia="Times New Roman" w:hAnsi="Times New Roman" w:cs="Times New Roman"/>
          <w:b/>
          <w:i/>
          <w:snapToGrid w:val="0"/>
          <w:sz w:val="24"/>
          <w:szCs w:val="20"/>
          <w:lang w:eastAsia="pt-BR"/>
        </w:rPr>
        <w:fldChar w:fldCharType="end"/>
      </w:r>
      <w:r w:rsidRPr="00154911">
        <w:rPr>
          <w:rFonts w:ascii="Times New Roman" w:eastAsia="Times New Roman" w:hAnsi="Times New Roman" w:cs="Times New Roman"/>
          <w:snapToGrid w:val="0"/>
          <w:sz w:val="24"/>
          <w:szCs w:val="20"/>
          <w:lang w:eastAsia="pt-BR"/>
        </w:rPr>
        <w:t xml:space="preserve">II – ao cumprimento do disposto no art. 198, § 2º, incisos II e III. </w:t>
      </w:r>
      <w:r w:rsidRPr="00154911">
        <w:rPr>
          <w:rFonts w:ascii="Times New Roman" w:eastAsia="Times New Roman" w:hAnsi="Times New Roman" w:cs="Times New Roman"/>
          <w:b/>
          <w:i/>
          <w:snapToGrid w:val="0"/>
          <w:sz w:val="24"/>
          <w:szCs w:val="20"/>
          <w:lang w:eastAsia="pt-BR"/>
        </w:rPr>
        <w:fldChar w:fldCharType="begin"/>
      </w:r>
      <w:r w:rsidRPr="00154911">
        <w:rPr>
          <w:rFonts w:ascii="Times New Roman" w:eastAsia="Times New Roman" w:hAnsi="Times New Roman" w:cs="Times New Roman"/>
          <w:b/>
          <w:i/>
          <w:snapToGrid w:val="0"/>
          <w:sz w:val="24"/>
          <w:szCs w:val="20"/>
          <w:lang w:eastAsia="pt-BR"/>
        </w:rPr>
        <w:instrText>HYPERLINK "http://www2.camara.gov.br/internet/legislacao/legin.html/visualizarNorma.html?ideNorma=354961&amp;PalavrasDestaque="</w:instrText>
      </w:r>
      <w:r w:rsidRPr="00154911">
        <w:rPr>
          <w:rFonts w:ascii="Times New Roman" w:eastAsia="Times New Roman" w:hAnsi="Times New Roman" w:cs="Times New Roman"/>
          <w:b/>
          <w:i/>
          <w:snapToGrid w:val="0"/>
          <w:sz w:val="24"/>
          <w:szCs w:val="20"/>
          <w:lang w:eastAsia="pt-BR"/>
        </w:rPr>
        <w:fldChar w:fldCharType="separate"/>
      </w:r>
      <w:r w:rsidRPr="00154911">
        <w:rPr>
          <w:rFonts w:ascii="Times New Roman" w:eastAsia="Times New Roman" w:hAnsi="Times New Roman" w:cs="Times New Roman"/>
          <w:i/>
          <w:snapToGrid w:val="0"/>
          <w:color w:val="0000FF"/>
          <w:sz w:val="24"/>
          <w:szCs w:val="20"/>
          <w:u w:val="single"/>
          <w:lang w:eastAsia="pt-BR"/>
        </w:rPr>
        <w:t>(Inciso acrescido pela Emenda Constitucional nº 29, de 2000)</w:t>
      </w:r>
    </w:p>
    <w:p w:rsidR="00154911" w:rsidRDefault="00154911" w:rsidP="00154911">
      <w:pPr>
        <w:tabs>
          <w:tab w:val="center" w:pos="4419"/>
          <w:tab w:val="right" w:pos="8838"/>
        </w:tabs>
        <w:jc w:val="center"/>
        <w:rPr>
          <w:rFonts w:ascii="Times New Roman" w:eastAsia="Times New Roman" w:hAnsi="Times New Roman" w:cs="Times New Roman"/>
          <w:b/>
          <w:sz w:val="28"/>
          <w:szCs w:val="20"/>
          <w:lang w:eastAsia="pt-BR"/>
        </w:rPr>
      </w:pPr>
      <w:r w:rsidRPr="00154911">
        <w:rPr>
          <w:rFonts w:ascii="Times New Roman" w:eastAsia="Times New Roman" w:hAnsi="Times New Roman" w:cs="Times New Roman"/>
          <w:b/>
          <w:i/>
          <w:snapToGrid w:val="0"/>
          <w:sz w:val="24"/>
          <w:szCs w:val="20"/>
          <w:lang w:eastAsia="pt-BR"/>
        </w:rPr>
        <w:fldChar w:fldCharType="end"/>
      </w:r>
      <w:r w:rsidRPr="00154911">
        <w:rPr>
          <w:rFonts w:ascii="Times New Roman" w:eastAsia="Times New Roman" w:hAnsi="Times New Roman" w:cs="Times New Roman"/>
          <w:snapToGrid w:val="0"/>
          <w:sz w:val="24"/>
          <w:szCs w:val="20"/>
          <w:lang w:eastAsia="pt-BR"/>
        </w:rPr>
        <w:t>..............................................................................................................................................................................................................................................................................................................</w:t>
      </w:r>
    </w:p>
    <w:p w:rsidR="00154911" w:rsidRDefault="00154911" w:rsidP="00154911">
      <w:pPr>
        <w:tabs>
          <w:tab w:val="center" w:pos="4419"/>
          <w:tab w:val="right" w:pos="8838"/>
        </w:tabs>
        <w:jc w:val="center"/>
        <w:rPr>
          <w:rFonts w:ascii="Times New Roman" w:eastAsia="Times New Roman" w:hAnsi="Times New Roman" w:cs="Times New Roman"/>
          <w:b/>
          <w:sz w:val="28"/>
          <w:szCs w:val="20"/>
          <w:lang w:eastAsia="pt-BR"/>
        </w:rPr>
      </w:pPr>
    </w:p>
    <w:p w:rsidR="00154911" w:rsidRPr="00154911" w:rsidRDefault="00154911" w:rsidP="00154911">
      <w:pPr>
        <w:tabs>
          <w:tab w:val="center" w:pos="4419"/>
          <w:tab w:val="right" w:pos="8838"/>
        </w:tabs>
        <w:jc w:val="center"/>
        <w:rPr>
          <w:rFonts w:ascii="Times New Roman" w:eastAsia="Times New Roman" w:hAnsi="Times New Roman" w:cs="Times New Roman"/>
          <w:b/>
          <w:sz w:val="28"/>
          <w:szCs w:val="20"/>
          <w:lang w:eastAsia="pt-BR"/>
        </w:rPr>
      </w:pPr>
      <w:r w:rsidRPr="00154911">
        <w:rPr>
          <w:rFonts w:ascii="Times New Roman" w:eastAsia="Times New Roman" w:hAnsi="Times New Roman" w:cs="Times New Roman"/>
          <w:b/>
          <w:sz w:val="28"/>
          <w:szCs w:val="20"/>
          <w:lang w:eastAsia="pt-BR"/>
        </w:rPr>
        <w:t>LEI COMPLEMENTAR Nº 101, DE 4 DE MAIO DE 2000</w:t>
      </w:r>
    </w:p>
    <w:p w:rsidR="00154911" w:rsidRPr="00154911" w:rsidRDefault="00154911" w:rsidP="00154911">
      <w:pPr>
        <w:tabs>
          <w:tab w:val="center" w:pos="4419"/>
          <w:tab w:val="right" w:pos="8838"/>
        </w:tabs>
        <w:rPr>
          <w:rFonts w:ascii="Times New Roman" w:eastAsia="Times New Roman" w:hAnsi="Times New Roman" w:cs="Times New Roman"/>
          <w:sz w:val="24"/>
          <w:szCs w:val="20"/>
          <w:lang w:eastAsia="pt-BR"/>
        </w:rPr>
      </w:pPr>
    </w:p>
    <w:p w:rsidR="00154911" w:rsidRPr="00154911" w:rsidRDefault="00154911" w:rsidP="00154911">
      <w:pPr>
        <w:tabs>
          <w:tab w:val="center" w:pos="4419"/>
          <w:tab w:val="right" w:pos="8838"/>
        </w:tabs>
        <w:ind w:left="4536"/>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 xml:space="preserve">Estabelece normas de finanças públicas voltadas para a responsabilidade na gestão fiscal e dá outras providências. </w:t>
      </w:r>
    </w:p>
    <w:p w:rsidR="00154911" w:rsidRPr="00154911" w:rsidRDefault="00154911" w:rsidP="00154911">
      <w:pPr>
        <w:tabs>
          <w:tab w:val="center" w:pos="4419"/>
          <w:tab w:val="right" w:pos="8838"/>
        </w:tabs>
        <w:rPr>
          <w:rFonts w:ascii="Times New Roman" w:eastAsia="Times New Roman" w:hAnsi="Times New Roman" w:cs="Times New Roman"/>
          <w:sz w:val="24"/>
          <w:szCs w:val="20"/>
          <w:lang w:eastAsia="pt-BR"/>
        </w:rPr>
      </w:pP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b/>
          <w:sz w:val="24"/>
          <w:szCs w:val="20"/>
          <w:lang w:eastAsia="pt-BR"/>
        </w:rPr>
        <w:t>O PRESIDENTE DA REPÚBLICA</w:t>
      </w:r>
      <w:r w:rsidRPr="00154911">
        <w:rPr>
          <w:rFonts w:ascii="Times New Roman" w:eastAsia="Times New Roman" w:hAnsi="Times New Roman" w:cs="Times New Roman"/>
          <w:sz w:val="24"/>
          <w:szCs w:val="20"/>
          <w:lang w:eastAsia="pt-BR"/>
        </w:rPr>
        <w:t xml:space="preserve"> </w:t>
      </w: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 xml:space="preserve">Faço saber que o Congresso Nacional decreta e eu sanciono a seguinte Lei Complementar: </w:t>
      </w:r>
    </w:p>
    <w:p w:rsidR="00154911" w:rsidRPr="00154911" w:rsidRDefault="00154911" w:rsidP="00154911">
      <w:pPr>
        <w:tabs>
          <w:tab w:val="center" w:pos="4419"/>
          <w:tab w:val="right" w:pos="8838"/>
        </w:tabs>
        <w:jc w:val="center"/>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w:t>
      </w:r>
    </w:p>
    <w:p w:rsidR="00154911" w:rsidRPr="00154911" w:rsidRDefault="00154911" w:rsidP="00154911">
      <w:pPr>
        <w:tabs>
          <w:tab w:val="center" w:pos="4419"/>
          <w:tab w:val="right" w:pos="8838"/>
        </w:tabs>
        <w:jc w:val="center"/>
        <w:rPr>
          <w:rFonts w:ascii="Times New Roman" w:eastAsia="Times New Roman" w:hAnsi="Times New Roman" w:cs="Times New Roman"/>
          <w:sz w:val="24"/>
          <w:szCs w:val="20"/>
          <w:lang w:eastAsia="pt-BR"/>
        </w:rPr>
      </w:pPr>
    </w:p>
    <w:p w:rsidR="00154911" w:rsidRPr="00154911" w:rsidRDefault="00154911" w:rsidP="00154911">
      <w:pPr>
        <w:tabs>
          <w:tab w:val="center" w:pos="4419"/>
          <w:tab w:val="right" w:pos="8838"/>
        </w:tabs>
        <w:jc w:val="center"/>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CAPÍTULO III</w:t>
      </w:r>
    </w:p>
    <w:p w:rsidR="00154911" w:rsidRPr="00154911" w:rsidRDefault="00154911" w:rsidP="00154911">
      <w:pPr>
        <w:tabs>
          <w:tab w:val="center" w:pos="4419"/>
          <w:tab w:val="right" w:pos="8838"/>
        </w:tabs>
        <w:jc w:val="center"/>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DA RECEITA PÚBLICA</w:t>
      </w:r>
    </w:p>
    <w:p w:rsidR="00154911" w:rsidRPr="00154911" w:rsidRDefault="00154911" w:rsidP="00154911">
      <w:pPr>
        <w:tabs>
          <w:tab w:val="center" w:pos="4419"/>
          <w:tab w:val="right" w:pos="8838"/>
        </w:tabs>
        <w:jc w:val="center"/>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w:t>
      </w:r>
    </w:p>
    <w:p w:rsidR="00154911" w:rsidRPr="00154911" w:rsidRDefault="00154911" w:rsidP="00154911">
      <w:pPr>
        <w:tabs>
          <w:tab w:val="center" w:pos="4419"/>
          <w:tab w:val="right" w:pos="8838"/>
        </w:tabs>
        <w:jc w:val="center"/>
        <w:rPr>
          <w:rFonts w:ascii="Times New Roman" w:eastAsia="Times New Roman" w:hAnsi="Times New Roman" w:cs="Times New Roman"/>
          <w:b/>
          <w:sz w:val="24"/>
          <w:szCs w:val="20"/>
          <w:lang w:eastAsia="pt-BR"/>
        </w:rPr>
      </w:pPr>
    </w:p>
    <w:p w:rsidR="00154911" w:rsidRPr="00154911" w:rsidRDefault="00154911" w:rsidP="00154911">
      <w:pPr>
        <w:tabs>
          <w:tab w:val="center" w:pos="4419"/>
          <w:tab w:val="right" w:pos="8838"/>
        </w:tabs>
        <w:jc w:val="center"/>
        <w:rPr>
          <w:rFonts w:ascii="Times New Roman" w:eastAsia="Times New Roman" w:hAnsi="Times New Roman" w:cs="Times New Roman"/>
          <w:b/>
          <w:sz w:val="24"/>
          <w:szCs w:val="20"/>
          <w:lang w:eastAsia="pt-BR"/>
        </w:rPr>
      </w:pPr>
      <w:r w:rsidRPr="00154911">
        <w:rPr>
          <w:rFonts w:ascii="Times New Roman" w:eastAsia="Times New Roman" w:hAnsi="Times New Roman" w:cs="Times New Roman"/>
          <w:b/>
          <w:sz w:val="24"/>
          <w:szCs w:val="20"/>
          <w:lang w:eastAsia="pt-BR"/>
        </w:rPr>
        <w:t>Seção II</w:t>
      </w:r>
    </w:p>
    <w:p w:rsidR="00154911" w:rsidRPr="00154911" w:rsidRDefault="00154911" w:rsidP="00154911">
      <w:pPr>
        <w:tabs>
          <w:tab w:val="center" w:pos="4419"/>
          <w:tab w:val="right" w:pos="8838"/>
        </w:tabs>
        <w:jc w:val="center"/>
        <w:rPr>
          <w:rFonts w:ascii="Times New Roman" w:eastAsia="Times New Roman" w:hAnsi="Times New Roman" w:cs="Times New Roman"/>
          <w:b/>
          <w:sz w:val="24"/>
          <w:szCs w:val="20"/>
          <w:lang w:eastAsia="pt-BR"/>
        </w:rPr>
      </w:pPr>
      <w:r w:rsidRPr="00154911">
        <w:rPr>
          <w:rFonts w:ascii="Times New Roman" w:eastAsia="Times New Roman" w:hAnsi="Times New Roman" w:cs="Times New Roman"/>
          <w:b/>
          <w:sz w:val="24"/>
          <w:szCs w:val="20"/>
          <w:lang w:eastAsia="pt-BR"/>
        </w:rPr>
        <w:t>Da Renúncia de Receita</w:t>
      </w: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 xml:space="preserve">Art. 14. A concessão ou ampliação de incentivo ou benefício de natureza tributária da qual decorra renúncia de receita deverá estar acompanhada de estimativa do </w:t>
      </w:r>
      <w:r w:rsidRPr="00154911">
        <w:rPr>
          <w:rFonts w:ascii="Times New Roman" w:eastAsia="Times New Roman" w:hAnsi="Times New Roman" w:cs="Times New Roman"/>
          <w:sz w:val="24"/>
          <w:szCs w:val="20"/>
          <w:lang w:eastAsia="pt-BR"/>
        </w:rPr>
        <w:lastRenderedPageBreak/>
        <w:t xml:space="preserve">impacto orçamentário-financeiro no exercício em que deva iniciar sua vigência e nos dois seguintes, atender ao disposto na lei de diretrizes orçamentárias e a pelo menos uma das seguintes condições: </w:t>
      </w: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I - demonstração pelo proponente de que a renúncia foi considerada na estimativa de receita da lei orçamentária, na forma do art. 12, e de que não afetará as metas de resultados fiscais previstas no anexo próprio da lei de diretrizes orçamentárias;</w:t>
      </w: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 xml:space="preserve">II - estar acompanhada de medidas de compensação, no período mencionado no </w:t>
      </w:r>
      <w:r w:rsidRPr="00154911">
        <w:rPr>
          <w:rFonts w:ascii="Times New Roman" w:eastAsia="Times New Roman" w:hAnsi="Times New Roman" w:cs="Times New Roman"/>
          <w:i/>
          <w:sz w:val="24"/>
          <w:szCs w:val="20"/>
          <w:lang w:eastAsia="pt-BR"/>
        </w:rPr>
        <w:t>caput</w:t>
      </w:r>
      <w:r w:rsidRPr="00154911">
        <w:rPr>
          <w:rFonts w:ascii="Times New Roman" w:eastAsia="Times New Roman" w:hAnsi="Times New Roman" w:cs="Times New Roman"/>
          <w:sz w:val="24"/>
          <w:szCs w:val="20"/>
          <w:lang w:eastAsia="pt-BR"/>
        </w:rPr>
        <w:t xml:space="preserve">, por meio do aumento de receita, proveniente da elevação de alíquotas, ampliação da base de cálculo, majoração ou criação de tributo ou contribuição. </w:t>
      </w:r>
    </w:p>
    <w:p w:rsidR="00154911" w:rsidRPr="00154911" w:rsidRDefault="00154911" w:rsidP="00154911">
      <w:pPr>
        <w:tabs>
          <w:tab w:val="center" w:pos="4419"/>
          <w:tab w:val="right" w:pos="8838"/>
        </w:tabs>
        <w:ind w:firstLine="1134"/>
        <w:rPr>
          <w:rFonts w:ascii="Times New Roman" w:eastAsia="Times New Roman" w:hAnsi="Times New Roman" w:cs="Times New Roman"/>
          <w:i/>
          <w:color w:val="FF0000"/>
          <w:sz w:val="24"/>
          <w:szCs w:val="20"/>
          <w:lang w:eastAsia="pt-BR"/>
        </w:rPr>
      </w:pPr>
      <w:r w:rsidRPr="00154911">
        <w:rPr>
          <w:rFonts w:ascii="Times New Roman" w:eastAsia="Times New Roman" w:hAnsi="Times New Roman" w:cs="Times New Roman"/>
          <w:sz w:val="24"/>
          <w:szCs w:val="20"/>
          <w:lang w:eastAsia="pt-BR"/>
        </w:rPr>
        <w:t xml:space="preserve">III - </w:t>
      </w:r>
      <w:hyperlink r:id="rId10" w:history="1">
        <w:r w:rsidRPr="00154911">
          <w:rPr>
            <w:rFonts w:ascii="Times New Roman" w:eastAsia="Times New Roman" w:hAnsi="Times New Roman" w:cs="Times New Roman"/>
            <w:i/>
            <w:color w:val="0000FF"/>
            <w:sz w:val="24"/>
            <w:szCs w:val="20"/>
            <w:u w:val="single"/>
            <w:lang w:eastAsia="pt-BR"/>
          </w:rPr>
          <w:t>(VETADO na Lei Complementar nº 148, de 25/11/2014)</w:t>
        </w:r>
      </w:hyperlink>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 xml:space="preserve">§ 1º A renúncia compreende anistia, remissão, subsídio, crédito presumido, concessão de isenção em caráter não geral, alteração de alíquota ou modificação de base de cálculo que implique redução discriminada de tributos ou contribuições, e outros benefícios que correspondam a tratamento diferenciado. </w:t>
      </w: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 xml:space="preserve">§ 2º Se o ato de concessão ou ampliação do incentivo ou benefício de que trata o </w:t>
      </w:r>
      <w:r w:rsidRPr="00154911">
        <w:rPr>
          <w:rFonts w:ascii="Times New Roman" w:eastAsia="Times New Roman" w:hAnsi="Times New Roman" w:cs="Times New Roman"/>
          <w:i/>
          <w:sz w:val="24"/>
          <w:szCs w:val="20"/>
          <w:lang w:eastAsia="pt-BR"/>
        </w:rPr>
        <w:t>caput</w:t>
      </w:r>
      <w:r w:rsidRPr="00154911">
        <w:rPr>
          <w:rFonts w:ascii="Times New Roman" w:eastAsia="Times New Roman" w:hAnsi="Times New Roman" w:cs="Times New Roman"/>
          <w:sz w:val="24"/>
          <w:szCs w:val="20"/>
          <w:lang w:eastAsia="pt-BR"/>
        </w:rPr>
        <w:t xml:space="preserve"> deste artigo decorrer da condição contida no inciso II, o benefício só entrará em vigor quando implementadas as medidas referidas no mencionado inciso. </w:t>
      </w: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 xml:space="preserve">§ 3º O disposto neste artigo não se aplica: </w:t>
      </w: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 xml:space="preserve">I - às alterações das alíquotas dos impostos previstos nos incisos I, II, IV e V do art. 153 da Constituição, na forma do seu § 1º; </w:t>
      </w: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 xml:space="preserve">II - ao cancelamento de débito cujo montante seja inferior ao dos respectivos custos de cobrança. </w:t>
      </w:r>
    </w:p>
    <w:p w:rsidR="00154911" w:rsidRPr="00154911" w:rsidRDefault="00154911" w:rsidP="00154911">
      <w:pPr>
        <w:tabs>
          <w:tab w:val="center" w:pos="4419"/>
          <w:tab w:val="right" w:pos="8838"/>
        </w:tabs>
        <w:ind w:firstLine="1134"/>
        <w:rPr>
          <w:rFonts w:ascii="Times New Roman" w:eastAsia="Times New Roman" w:hAnsi="Times New Roman" w:cs="Times New Roman"/>
          <w:i/>
          <w:color w:val="FF0000"/>
          <w:sz w:val="24"/>
          <w:szCs w:val="20"/>
          <w:lang w:eastAsia="pt-BR"/>
        </w:rPr>
      </w:pPr>
      <w:r w:rsidRPr="00154911">
        <w:rPr>
          <w:rFonts w:ascii="Times New Roman" w:eastAsia="Times New Roman" w:hAnsi="Times New Roman" w:cs="Times New Roman"/>
          <w:sz w:val="24"/>
          <w:szCs w:val="20"/>
          <w:lang w:eastAsia="pt-BR"/>
        </w:rPr>
        <w:t xml:space="preserve">III - </w:t>
      </w:r>
      <w:hyperlink r:id="rId11" w:history="1">
        <w:r w:rsidRPr="00154911">
          <w:rPr>
            <w:rFonts w:ascii="Times New Roman" w:eastAsia="Times New Roman" w:hAnsi="Times New Roman" w:cs="Times New Roman"/>
            <w:i/>
            <w:color w:val="0000FF"/>
            <w:sz w:val="24"/>
            <w:szCs w:val="20"/>
            <w:u w:val="single"/>
            <w:lang w:eastAsia="pt-BR"/>
          </w:rPr>
          <w:t>(VETADO na Lei Complementar nº 148, de 25/11/2014)</w:t>
        </w:r>
      </w:hyperlink>
    </w:p>
    <w:p w:rsidR="00154911" w:rsidRPr="00154911" w:rsidRDefault="00154911" w:rsidP="00154911">
      <w:pPr>
        <w:tabs>
          <w:tab w:val="center" w:pos="4419"/>
          <w:tab w:val="right" w:pos="8838"/>
        </w:tabs>
        <w:ind w:firstLine="1134"/>
        <w:rPr>
          <w:rFonts w:ascii="Times New Roman" w:eastAsia="Times New Roman" w:hAnsi="Times New Roman" w:cs="Times New Roman"/>
          <w:i/>
          <w:color w:val="FF0000"/>
          <w:sz w:val="24"/>
          <w:szCs w:val="20"/>
          <w:lang w:eastAsia="pt-BR"/>
        </w:rPr>
      </w:pPr>
      <w:r w:rsidRPr="00154911">
        <w:rPr>
          <w:rFonts w:ascii="Times New Roman" w:eastAsia="Times New Roman" w:hAnsi="Times New Roman" w:cs="Times New Roman"/>
          <w:sz w:val="24"/>
          <w:szCs w:val="20"/>
          <w:lang w:eastAsia="pt-BR"/>
        </w:rPr>
        <w:t xml:space="preserve">IV - </w:t>
      </w:r>
      <w:hyperlink r:id="rId12" w:history="1">
        <w:r w:rsidRPr="00154911">
          <w:rPr>
            <w:rFonts w:ascii="Times New Roman" w:eastAsia="Times New Roman" w:hAnsi="Times New Roman" w:cs="Times New Roman"/>
            <w:i/>
            <w:color w:val="0000FF"/>
            <w:sz w:val="24"/>
            <w:szCs w:val="20"/>
            <w:u w:val="single"/>
            <w:lang w:eastAsia="pt-BR"/>
          </w:rPr>
          <w:t>(VETADO na Lei Complementar nº 148, de 25/11/2014)</w:t>
        </w:r>
      </w:hyperlink>
    </w:p>
    <w:p w:rsidR="00154911" w:rsidRPr="00154911" w:rsidRDefault="00154911" w:rsidP="00154911">
      <w:pPr>
        <w:tabs>
          <w:tab w:val="center" w:pos="4419"/>
          <w:tab w:val="right" w:pos="8838"/>
        </w:tabs>
        <w:ind w:firstLine="1134"/>
        <w:rPr>
          <w:rFonts w:ascii="Times New Roman" w:eastAsia="Times New Roman" w:hAnsi="Times New Roman" w:cs="Times New Roman"/>
          <w:i/>
          <w:color w:val="FF0000"/>
          <w:sz w:val="24"/>
          <w:szCs w:val="20"/>
          <w:lang w:eastAsia="pt-BR"/>
        </w:rPr>
      </w:pPr>
      <w:r w:rsidRPr="00154911">
        <w:rPr>
          <w:rFonts w:ascii="Times New Roman" w:eastAsia="Times New Roman" w:hAnsi="Times New Roman" w:cs="Times New Roman"/>
          <w:sz w:val="24"/>
          <w:szCs w:val="20"/>
          <w:lang w:eastAsia="pt-BR"/>
        </w:rPr>
        <w:t xml:space="preserve">V - </w:t>
      </w:r>
      <w:hyperlink r:id="rId13" w:history="1">
        <w:r w:rsidRPr="00154911">
          <w:rPr>
            <w:rFonts w:ascii="Times New Roman" w:eastAsia="Times New Roman" w:hAnsi="Times New Roman" w:cs="Times New Roman"/>
            <w:i/>
            <w:color w:val="0000FF"/>
            <w:sz w:val="24"/>
            <w:szCs w:val="20"/>
            <w:u w:val="single"/>
            <w:lang w:eastAsia="pt-BR"/>
          </w:rPr>
          <w:t>(VETADO na Lei Complementar nº 148, de 25/11/2014)</w:t>
        </w:r>
      </w:hyperlink>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p>
    <w:p w:rsidR="00154911" w:rsidRPr="00154911" w:rsidRDefault="00154911" w:rsidP="00154911">
      <w:pPr>
        <w:tabs>
          <w:tab w:val="center" w:pos="4419"/>
          <w:tab w:val="right" w:pos="8838"/>
        </w:tabs>
        <w:jc w:val="center"/>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CAPÍTULO IV</w:t>
      </w:r>
    </w:p>
    <w:p w:rsidR="00154911" w:rsidRPr="00154911" w:rsidRDefault="00154911" w:rsidP="00154911">
      <w:pPr>
        <w:tabs>
          <w:tab w:val="center" w:pos="4419"/>
          <w:tab w:val="right" w:pos="8838"/>
        </w:tabs>
        <w:jc w:val="center"/>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DA DESPESA PÚBLICA</w:t>
      </w: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p>
    <w:p w:rsidR="00154911" w:rsidRPr="00154911" w:rsidRDefault="00154911" w:rsidP="00154911">
      <w:pPr>
        <w:tabs>
          <w:tab w:val="center" w:pos="4419"/>
          <w:tab w:val="right" w:pos="8838"/>
        </w:tabs>
        <w:jc w:val="center"/>
        <w:rPr>
          <w:rFonts w:ascii="Times New Roman" w:eastAsia="Times New Roman" w:hAnsi="Times New Roman" w:cs="Times New Roman"/>
          <w:b/>
          <w:sz w:val="24"/>
          <w:szCs w:val="20"/>
          <w:lang w:eastAsia="pt-BR"/>
        </w:rPr>
      </w:pPr>
      <w:r w:rsidRPr="00154911">
        <w:rPr>
          <w:rFonts w:ascii="Times New Roman" w:eastAsia="Times New Roman" w:hAnsi="Times New Roman" w:cs="Times New Roman"/>
          <w:b/>
          <w:sz w:val="24"/>
          <w:szCs w:val="20"/>
          <w:lang w:eastAsia="pt-BR"/>
        </w:rPr>
        <w:t>Seção I</w:t>
      </w:r>
    </w:p>
    <w:p w:rsidR="00154911" w:rsidRPr="00154911" w:rsidRDefault="00154911" w:rsidP="00154911">
      <w:pPr>
        <w:tabs>
          <w:tab w:val="center" w:pos="4419"/>
          <w:tab w:val="right" w:pos="8838"/>
        </w:tabs>
        <w:jc w:val="center"/>
        <w:rPr>
          <w:rFonts w:ascii="Times New Roman" w:eastAsia="Times New Roman" w:hAnsi="Times New Roman" w:cs="Times New Roman"/>
          <w:b/>
          <w:sz w:val="24"/>
          <w:szCs w:val="20"/>
          <w:lang w:eastAsia="pt-BR"/>
        </w:rPr>
      </w:pPr>
      <w:r w:rsidRPr="00154911">
        <w:rPr>
          <w:rFonts w:ascii="Times New Roman" w:eastAsia="Times New Roman" w:hAnsi="Times New Roman" w:cs="Times New Roman"/>
          <w:b/>
          <w:sz w:val="24"/>
          <w:szCs w:val="20"/>
          <w:lang w:eastAsia="pt-BR"/>
        </w:rPr>
        <w:t>Da Geração da Despesa</w:t>
      </w: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p>
    <w:p w:rsidR="00154911" w:rsidRPr="00154911" w:rsidRDefault="00154911" w:rsidP="00154911">
      <w:pPr>
        <w:tabs>
          <w:tab w:val="center" w:pos="4419"/>
          <w:tab w:val="right" w:pos="8838"/>
        </w:tabs>
        <w:ind w:firstLine="1134"/>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 xml:space="preserve">Art. 15. Serão consideradas não autorizadas, irregulares e lesivas ao patrimônio público a geração de despesa ou assunção de obrigação que não atendam o disposto nos arts. 16 e 17. </w:t>
      </w:r>
    </w:p>
    <w:p w:rsidR="00154911" w:rsidRPr="00154911" w:rsidRDefault="00154911" w:rsidP="00154911">
      <w:pPr>
        <w:tabs>
          <w:tab w:val="center" w:pos="4419"/>
          <w:tab w:val="right" w:pos="8838"/>
        </w:tabs>
        <w:rPr>
          <w:rFonts w:ascii="Times New Roman" w:eastAsia="Times New Roman" w:hAnsi="Times New Roman" w:cs="Times New Roman"/>
          <w:sz w:val="24"/>
          <w:szCs w:val="20"/>
          <w:lang w:eastAsia="pt-BR"/>
        </w:rPr>
      </w:pPr>
      <w:r w:rsidRPr="00154911">
        <w:rPr>
          <w:rFonts w:ascii="Times New Roman" w:eastAsia="Times New Roman" w:hAnsi="Times New Roman" w:cs="Times New Roman"/>
          <w:sz w:val="24"/>
          <w:szCs w:val="20"/>
          <w:lang w:eastAsia="pt-BR"/>
        </w:rPr>
        <w:t>..............................................................................................................................................................................................................................................................................................................</w:t>
      </w:r>
    </w:p>
    <w:p w:rsidR="00154911" w:rsidRDefault="00154911" w:rsidP="00154911">
      <w:pPr>
        <w:jc w:val="center"/>
        <w:rPr>
          <w:rFonts w:ascii="Times New Roman" w:eastAsia="Times New Roman" w:hAnsi="Times New Roman" w:cs="Times New Roman"/>
          <w:szCs w:val="20"/>
          <w:lang w:eastAsia="pt-BR"/>
        </w:rPr>
      </w:pPr>
    </w:p>
    <w:p w:rsidR="00154911" w:rsidRPr="00154911" w:rsidRDefault="00154911" w:rsidP="00154911">
      <w:pPr>
        <w:jc w:val="center"/>
        <w:rPr>
          <w:rFonts w:ascii="Times New Roman" w:eastAsia="Times New Roman" w:hAnsi="Times New Roman" w:cs="Times New Roman"/>
          <w:b/>
          <w:sz w:val="28"/>
          <w:szCs w:val="28"/>
          <w:lang w:eastAsia="pt-BR"/>
        </w:rPr>
      </w:pPr>
      <w:r w:rsidRPr="00154911">
        <w:rPr>
          <w:rFonts w:ascii="Times New Roman" w:eastAsia="Times New Roman" w:hAnsi="Times New Roman" w:cs="Times New Roman"/>
          <w:b/>
          <w:sz w:val="28"/>
          <w:szCs w:val="28"/>
          <w:lang w:eastAsia="pt-BR"/>
        </w:rPr>
        <w:t>LEI COMPLEMENTAR Nº 143, DE 17 DE JULHO DE 2013</w:t>
      </w:r>
    </w:p>
    <w:p w:rsidR="00154911" w:rsidRPr="00154911" w:rsidRDefault="00154911" w:rsidP="00154911">
      <w:pPr>
        <w:rPr>
          <w:rFonts w:ascii="Times New Roman" w:eastAsia="Times New Roman" w:hAnsi="Times New Roman" w:cs="Times New Roman"/>
          <w:sz w:val="24"/>
          <w:szCs w:val="24"/>
          <w:lang w:eastAsia="pt-BR"/>
        </w:rPr>
      </w:pPr>
    </w:p>
    <w:p w:rsidR="00154911" w:rsidRPr="00154911" w:rsidRDefault="00154911" w:rsidP="00154911">
      <w:pPr>
        <w:ind w:left="4536"/>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Altera a Lei Complementar nº 62, de 28 de dezembro de 1989, a Lei nº 5.172, de 25 de outubro de 1966 (Código Tributário Nacional), e a Lei nº 8.443, de 16 de julho de 1992 (Lei Orgânica do Tribunal de Contas da União), para dispor sobre os critérios de rateio do Fundo de Participação dos Estados e do Distrito Federal (FPE); e revoga dispositivos da Lei nº 5.172, de 25 de outubro de 1966. </w:t>
      </w:r>
    </w:p>
    <w:p w:rsidR="00154911" w:rsidRPr="00154911" w:rsidRDefault="00154911" w:rsidP="00C07789">
      <w:pPr>
        <w:ind w:left="4536"/>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 </w:t>
      </w:r>
    </w:p>
    <w:p w:rsidR="00154911" w:rsidRPr="00154911" w:rsidRDefault="00154911" w:rsidP="00154911">
      <w:pPr>
        <w:ind w:firstLine="1134"/>
        <w:rPr>
          <w:rFonts w:ascii="Times New Roman" w:eastAsia="Times New Roman" w:hAnsi="Times New Roman" w:cs="Times New Roman"/>
          <w:b/>
          <w:sz w:val="24"/>
          <w:szCs w:val="24"/>
          <w:lang w:eastAsia="pt-BR"/>
        </w:rPr>
      </w:pPr>
      <w:r w:rsidRPr="00154911">
        <w:rPr>
          <w:rFonts w:ascii="Times New Roman" w:eastAsia="Times New Roman" w:hAnsi="Times New Roman" w:cs="Times New Roman"/>
          <w:b/>
          <w:sz w:val="24"/>
          <w:szCs w:val="24"/>
          <w:lang w:eastAsia="pt-BR"/>
        </w:rPr>
        <w:lastRenderedPageBreak/>
        <w:t>A PRESIDENTA DA REPÚBLICA</w:t>
      </w:r>
    </w:p>
    <w:p w:rsidR="00154911" w:rsidRPr="00154911" w:rsidRDefault="00154911" w:rsidP="00154911">
      <w:pPr>
        <w:ind w:firstLine="1134"/>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Faço saber que o Congresso Nacional decreta e eu sanciono a seguinte Lei Complementar: </w:t>
      </w:r>
    </w:p>
    <w:p w:rsidR="00154911" w:rsidRPr="00154911" w:rsidRDefault="00154911" w:rsidP="00154911">
      <w:pPr>
        <w:ind w:firstLine="1134"/>
        <w:rPr>
          <w:rFonts w:ascii="Times New Roman" w:eastAsia="Times New Roman" w:hAnsi="Times New Roman" w:cs="Times New Roman"/>
          <w:sz w:val="24"/>
          <w:szCs w:val="24"/>
          <w:lang w:eastAsia="pt-BR"/>
        </w:rPr>
      </w:pPr>
    </w:p>
    <w:p w:rsidR="00154911" w:rsidRPr="00154911" w:rsidRDefault="00154911" w:rsidP="00154911">
      <w:pPr>
        <w:ind w:firstLine="1134"/>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Art. 1º O art. 2º da Lei Complementar nº 62, de 28 de dezembro de 1989, passa a vigorar com a seguinte redação: </w:t>
      </w:r>
    </w:p>
    <w:p w:rsidR="00154911" w:rsidRPr="00154911" w:rsidRDefault="00154911" w:rsidP="00154911">
      <w:pPr>
        <w:rPr>
          <w:rFonts w:ascii="Times New Roman" w:eastAsia="Times New Roman" w:hAnsi="Times New Roman" w:cs="Times New Roman"/>
          <w:sz w:val="24"/>
          <w:szCs w:val="24"/>
          <w:lang w:eastAsia="pt-BR"/>
        </w:rPr>
      </w:pP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"Art. 2º Os recursos do Fundo de Participação dos Estados e do Distrito Federal (FPE), observado o disposto no art. 4º, serão entregues da seguinte forma: </w:t>
      </w: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I - os coeficientes individuais de participação dos Estados e do Distrito Federal no FPE a serem aplicados até 31 de dezembro de 2015 são os constantes do Anexo Único desta Lei Complementar; </w:t>
      </w: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II - a partir de 1º de janeiro de 2016, cada entidade beneficiária receberá valor igual ao que foi distribuído no correspondente decêndio do exercício de 2015, corrigido pela variação acumulada do Índice Nacional de Preços ao Consumidor Amplo (IPCA) ou outro que vier a substituí-lo e pelo percentual equivalente a 75% (setenta e cinco por cento) da variação real do Produto Interno Bruto nacional do ano anterior ao ano considerado para base de cálculo; </w:t>
      </w: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III - também a partir de 1º de janeiro de 2016, a parcela que superar o montante especificado no inciso II será distribuída proporcionalmente a coeficientes individuais de participação obtidos a partir da combinação de fatores representativos da população e do inverso da renda domiciliar per capita da entidade beneficiária, assim definidos: </w:t>
      </w: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a) o fator representativo da população corresponderá à participação relativa da população da entidade beneficiária na população do País, observados os limites superior e inferior de, respectivamente, 0,07 (sete centésimos) e 0,012 (doze milésimos), que incidirão uma única vez nos cálculos requeridos;</w:t>
      </w: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 b) o fator representativo do inverso da renda domiciliar per capita corresponderá à participação relativa do inverso da renda domiciliar per capita da entidade beneficiária na soma dos inversos da renda domiciliar per capita de todas as entidades. </w:t>
      </w:r>
    </w:p>
    <w:p w:rsidR="00154911" w:rsidRPr="00154911" w:rsidRDefault="00154911" w:rsidP="00154911">
      <w:pPr>
        <w:ind w:left="1701"/>
        <w:rPr>
          <w:rFonts w:ascii="Times New Roman" w:eastAsia="Times New Roman" w:hAnsi="Times New Roman" w:cs="Times New Roman"/>
          <w:sz w:val="24"/>
          <w:szCs w:val="24"/>
          <w:lang w:eastAsia="pt-BR"/>
        </w:rPr>
      </w:pP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 1º Em relação à parcela de que trata o inciso III do caput, serão observados os seguintes procedimentos: </w:t>
      </w: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I - a soma dos fatores representativos da população e a dos fatores representativos do inverso da renda domiciliar per capita deverão ser ambas iguais a 0,5 (cinco décimos), ajustando-se proporcionalmente, para esse efeito, os fatores das entidades beneficiárias; </w:t>
      </w: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II - o coeficiente individual de participação será a soma dos fatores representativos da população e do inverso da renda domiciliar per capita da entidade beneficiária, observados os ajustes previstos nos incisos III e IV deste parágrafo; </w:t>
      </w: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III - os coeficientes individuais de participação das entidades beneficiárias cujas rendas domiciliares per capita excederem valor de referência correspondente a 72% (setenta e dois por cento) da renda domiciliar per capita nacional serão reduzidos proporcionalmente à razão entre o excesso da renda domiciliar per capita da entidade beneficiária e o valor de </w:t>
      </w:r>
      <w:r w:rsidRPr="00154911">
        <w:rPr>
          <w:rFonts w:ascii="Times New Roman" w:eastAsia="Times New Roman" w:hAnsi="Times New Roman" w:cs="Times New Roman"/>
          <w:sz w:val="24"/>
          <w:szCs w:val="24"/>
          <w:lang w:eastAsia="pt-BR"/>
        </w:rPr>
        <w:lastRenderedPageBreak/>
        <w:t>referência, observado que nenhuma entidade beneficiária poderá ter coeficiente individual de participação inferior a 0,005 (cinco milésimos);</w:t>
      </w: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IV - em virtude da aplicação do disposto no inciso III deste parágrafo, os coeficientes individuais de participação de todas as entidades beneficiárias deverão ser ajustados proporcionalmente, de modo que resultem em soma igual a 1 (um). </w:t>
      </w:r>
    </w:p>
    <w:p w:rsidR="00154911" w:rsidRPr="00154911" w:rsidRDefault="00154911" w:rsidP="00154911">
      <w:pPr>
        <w:ind w:left="1701"/>
        <w:rPr>
          <w:rFonts w:ascii="Times New Roman" w:eastAsia="Times New Roman" w:hAnsi="Times New Roman" w:cs="Times New Roman"/>
          <w:sz w:val="24"/>
          <w:szCs w:val="24"/>
          <w:lang w:eastAsia="pt-BR"/>
        </w:rPr>
      </w:pP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 2º Caso a soma dos valores a serem distribuídos, nos termos do inciso II do caput, seja igual ou superior ao montante a ser distribuído, a partilha dos recursos será feita exclusivamente de acordo com o referido inciso, ajustando-se proporcionalmente os valores. </w:t>
      </w:r>
    </w:p>
    <w:p w:rsidR="00154911" w:rsidRPr="00154911" w:rsidRDefault="00154911" w:rsidP="00154911">
      <w:pPr>
        <w:ind w:left="1701"/>
        <w:rPr>
          <w:rFonts w:ascii="Times New Roman" w:eastAsia="Times New Roman" w:hAnsi="Times New Roman" w:cs="Times New Roman"/>
          <w:sz w:val="24"/>
          <w:szCs w:val="24"/>
          <w:lang w:eastAsia="pt-BR"/>
        </w:rPr>
      </w:pPr>
    </w:p>
    <w:p w:rsidR="00154911" w:rsidRPr="00154911" w:rsidRDefault="00154911" w:rsidP="00154911">
      <w:pPr>
        <w:ind w:left="1701"/>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3º Para efeito do disposto neste artigo, serão considerados os valores censitários ou as estimativas mais recentes da população e da renda domiciliar per capita publicados pela entidade federal competente." (NR)</w:t>
      </w:r>
    </w:p>
    <w:p w:rsidR="00154911" w:rsidRPr="00154911" w:rsidRDefault="00154911" w:rsidP="00154911">
      <w:pPr>
        <w:ind w:left="1701"/>
        <w:rPr>
          <w:rFonts w:ascii="Times New Roman" w:eastAsia="Times New Roman" w:hAnsi="Times New Roman" w:cs="Times New Roman"/>
          <w:sz w:val="24"/>
          <w:szCs w:val="24"/>
          <w:lang w:eastAsia="pt-BR"/>
        </w:rPr>
      </w:pPr>
    </w:p>
    <w:p w:rsidR="00154911" w:rsidRPr="00154911" w:rsidRDefault="00154911" w:rsidP="00154911">
      <w:pPr>
        <w:ind w:firstLine="1134"/>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 xml:space="preserve">Art. 2º O art. 92 da Lei nº 5.172, de 25 de outubro de 1966 (Código Tributário Nacional), passa a vigorar com a seguinte redação: </w:t>
      </w:r>
    </w:p>
    <w:p w:rsidR="00154911" w:rsidRPr="00154911" w:rsidRDefault="00154911" w:rsidP="00154911">
      <w:pPr>
        <w:rPr>
          <w:rFonts w:ascii="Times New Roman" w:eastAsia="Times New Roman" w:hAnsi="Times New Roman" w:cs="Times New Roman"/>
          <w:sz w:val="24"/>
          <w:szCs w:val="24"/>
          <w:lang w:eastAsia="pt-BR"/>
        </w:rPr>
      </w:pPr>
      <w:r w:rsidRPr="00154911">
        <w:rPr>
          <w:rFonts w:ascii="Times New Roman" w:eastAsia="Times New Roman" w:hAnsi="Times New Roman" w:cs="Times New Roman"/>
          <w:sz w:val="24"/>
          <w:szCs w:val="24"/>
          <w:lang w:eastAsia="pt-BR"/>
        </w:rPr>
        <w:t>..............................................................................................................................................................................................................................................................................................................</w:t>
      </w:r>
    </w:p>
    <w:p w:rsidR="00154911" w:rsidRPr="00154911" w:rsidRDefault="00154911" w:rsidP="00154911">
      <w:pPr>
        <w:jc w:val="left"/>
        <w:rPr>
          <w:rFonts w:ascii="Times New Roman" w:eastAsia="Times New Roman" w:hAnsi="Times New Roman" w:cs="Times New Roman"/>
          <w:szCs w:val="20"/>
          <w:lang w:eastAsia="pt-BR"/>
        </w:rPr>
      </w:pPr>
    </w:p>
    <w:p w:rsidR="00154911" w:rsidRDefault="00154911" w:rsidP="00154911">
      <w:pPr>
        <w:jc w:val="center"/>
        <w:rPr>
          <w:b/>
          <w:sz w:val="24"/>
        </w:rPr>
      </w:pPr>
      <w:bookmarkStart w:id="17" w:name="z949025_FIMDOCUMENTO"/>
      <w:bookmarkEnd w:id="1"/>
      <w:bookmarkEnd w:id="11"/>
    </w:p>
    <w:p w:rsidR="00154911" w:rsidRPr="00154911" w:rsidRDefault="00154911" w:rsidP="00154911">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7"/>
    </w:p>
    <w:sectPr w:rsidR="00154911" w:rsidRPr="00154911" w:rsidSect="00154911">
      <w:headerReference w:type="even" r:id="rId14"/>
      <w:headerReference w:type="default" r:id="rId15"/>
      <w:footerReference w:type="even" r:id="rId16"/>
      <w:footerReference w:type="default" r:id="rId17"/>
      <w:footerReference w:type="first" r:id="rId18"/>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5BD" w:rsidRDefault="008135BD" w:rsidP="00154911">
      <w:r>
        <w:separator/>
      </w:r>
    </w:p>
  </w:endnote>
  <w:endnote w:type="continuationSeparator" w:id="0">
    <w:p w:rsidR="008135BD" w:rsidRDefault="008135BD" w:rsidP="00154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911" w:rsidRDefault="00154911" w:rsidP="0015491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154911" w:rsidRDefault="00154911" w:rsidP="00154911">
    <w:pPr>
      <w:pStyle w:val="Rodap"/>
      <w:jc w:val="center"/>
      <w:rPr>
        <w:rFonts w:ascii="Courier New" w:hAnsi="Courier New" w:cs="Courier New"/>
      </w:rPr>
    </w:pPr>
    <w:r>
      <w:rPr>
        <w:rFonts w:ascii="Courier New" w:hAnsi="Courier New" w:cs="Courier New"/>
      </w:rPr>
      <w:t>CONFERE COM O ORIGINAL AUTENTICADO</w:t>
    </w:r>
  </w:p>
  <w:p w:rsidR="00154911" w:rsidRPr="00154911" w:rsidRDefault="00154911" w:rsidP="00154911">
    <w:pPr>
      <w:pStyle w:val="Rodap"/>
      <w:jc w:val="center"/>
    </w:pPr>
    <w:r>
      <w:t>PLP 15/2015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911" w:rsidRDefault="00154911" w:rsidP="0015491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154911" w:rsidRDefault="00154911" w:rsidP="00154911">
    <w:pPr>
      <w:pStyle w:val="Rodap"/>
      <w:jc w:val="center"/>
      <w:rPr>
        <w:rFonts w:ascii="Courier New" w:hAnsi="Courier New" w:cs="Courier New"/>
      </w:rPr>
    </w:pPr>
    <w:r>
      <w:rPr>
        <w:rFonts w:ascii="Courier New" w:hAnsi="Courier New" w:cs="Courier New"/>
      </w:rPr>
      <w:t>CONFERE COM O ORIGINAL AUTENTICADO</w:t>
    </w:r>
  </w:p>
  <w:p w:rsidR="00154911" w:rsidRPr="00154911" w:rsidRDefault="00154911" w:rsidP="00154911">
    <w:pPr>
      <w:pStyle w:val="Rodap"/>
      <w:jc w:val="center"/>
    </w:pPr>
    <w:r>
      <w:t>PLP 15/2015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911" w:rsidRDefault="00154911" w:rsidP="00154911">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P_7696</w:t>
    </w:r>
  </w:p>
  <w:p w:rsidR="00154911" w:rsidRPr="00154911" w:rsidRDefault="00154911" w:rsidP="00154911">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5BD" w:rsidRDefault="008135BD" w:rsidP="00154911">
      <w:r>
        <w:separator/>
      </w:r>
    </w:p>
  </w:footnote>
  <w:footnote w:type="continuationSeparator" w:id="0">
    <w:p w:rsidR="008135BD" w:rsidRDefault="008135BD" w:rsidP="001549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911" w:rsidRPr="00154911" w:rsidRDefault="00154911" w:rsidP="00154911">
    <w:pPr>
      <w:pStyle w:val="Cabealho"/>
      <w:jc w:val="left"/>
    </w:pPr>
    <w:r>
      <w:fldChar w:fldCharType="begin"/>
    </w:r>
    <w:r>
      <w:instrText xml:space="preserve"> PAGE  \* Arabic  \* MERGEFORMAT </w:instrText>
    </w:r>
    <w:r>
      <w:fldChar w:fldCharType="separate"/>
    </w:r>
    <w:r w:rsidR="00C05099">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911" w:rsidRPr="00154911" w:rsidRDefault="00154911" w:rsidP="00154911">
    <w:pPr>
      <w:pStyle w:val="Cabealho"/>
      <w:jc w:val="right"/>
    </w:pPr>
    <w:r>
      <w:fldChar w:fldCharType="begin"/>
    </w:r>
    <w:r>
      <w:instrText xml:space="preserve"> PAGE  \* Arabic  \* MERGEFORMAT </w:instrText>
    </w:r>
    <w:r>
      <w:fldChar w:fldCharType="separate"/>
    </w:r>
    <w:r w:rsidR="00C05099">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1"/>
    <w:rsid w:val="00086021"/>
    <w:rsid w:val="00154911"/>
    <w:rsid w:val="00322AD9"/>
    <w:rsid w:val="008135BD"/>
    <w:rsid w:val="00C05099"/>
    <w:rsid w:val="00C077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4911"/>
    <w:rPr>
      <w:rFonts w:ascii="Tahoma" w:hAnsi="Tahoma" w:cs="Tahoma"/>
      <w:sz w:val="16"/>
      <w:szCs w:val="16"/>
    </w:rPr>
  </w:style>
  <w:style w:type="character" w:customStyle="1" w:styleId="TextodebaloChar">
    <w:name w:val="Texto de balão Char"/>
    <w:basedOn w:val="Fontepargpadro"/>
    <w:link w:val="Textodebalo"/>
    <w:uiPriority w:val="99"/>
    <w:semiHidden/>
    <w:rsid w:val="00154911"/>
    <w:rPr>
      <w:rFonts w:ascii="Tahoma" w:hAnsi="Tahoma" w:cs="Tahoma"/>
      <w:sz w:val="16"/>
      <w:szCs w:val="16"/>
    </w:rPr>
  </w:style>
  <w:style w:type="paragraph" w:styleId="Cabealho">
    <w:name w:val="header"/>
    <w:basedOn w:val="Normal"/>
    <w:link w:val="CabealhoChar"/>
    <w:uiPriority w:val="99"/>
    <w:unhideWhenUsed/>
    <w:rsid w:val="00154911"/>
    <w:pPr>
      <w:tabs>
        <w:tab w:val="center" w:pos="4252"/>
        <w:tab w:val="right" w:pos="8504"/>
      </w:tabs>
    </w:pPr>
  </w:style>
  <w:style w:type="character" w:customStyle="1" w:styleId="CabealhoChar">
    <w:name w:val="Cabeçalho Char"/>
    <w:basedOn w:val="Fontepargpadro"/>
    <w:link w:val="Cabealho"/>
    <w:uiPriority w:val="99"/>
    <w:rsid w:val="00154911"/>
    <w:rPr>
      <w:rFonts w:ascii="Arial" w:hAnsi="Arial" w:cs="Arial"/>
      <w:sz w:val="20"/>
    </w:rPr>
  </w:style>
  <w:style w:type="paragraph" w:styleId="Rodap">
    <w:name w:val="footer"/>
    <w:basedOn w:val="Normal"/>
    <w:link w:val="RodapChar"/>
    <w:uiPriority w:val="99"/>
    <w:unhideWhenUsed/>
    <w:rsid w:val="00154911"/>
    <w:pPr>
      <w:tabs>
        <w:tab w:val="center" w:pos="4252"/>
        <w:tab w:val="right" w:pos="8504"/>
      </w:tabs>
    </w:pPr>
  </w:style>
  <w:style w:type="character" w:customStyle="1" w:styleId="RodapChar">
    <w:name w:val="Rodapé Char"/>
    <w:basedOn w:val="Fontepargpadro"/>
    <w:link w:val="Rodap"/>
    <w:uiPriority w:val="99"/>
    <w:rsid w:val="00154911"/>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54911"/>
    <w:rPr>
      <w:rFonts w:ascii="Tahoma" w:hAnsi="Tahoma" w:cs="Tahoma"/>
      <w:sz w:val="16"/>
      <w:szCs w:val="16"/>
    </w:rPr>
  </w:style>
  <w:style w:type="character" w:customStyle="1" w:styleId="TextodebaloChar">
    <w:name w:val="Texto de balão Char"/>
    <w:basedOn w:val="Fontepargpadro"/>
    <w:link w:val="Textodebalo"/>
    <w:uiPriority w:val="99"/>
    <w:semiHidden/>
    <w:rsid w:val="00154911"/>
    <w:rPr>
      <w:rFonts w:ascii="Tahoma" w:hAnsi="Tahoma" w:cs="Tahoma"/>
      <w:sz w:val="16"/>
      <w:szCs w:val="16"/>
    </w:rPr>
  </w:style>
  <w:style w:type="paragraph" w:styleId="Cabealho">
    <w:name w:val="header"/>
    <w:basedOn w:val="Normal"/>
    <w:link w:val="CabealhoChar"/>
    <w:uiPriority w:val="99"/>
    <w:unhideWhenUsed/>
    <w:rsid w:val="00154911"/>
    <w:pPr>
      <w:tabs>
        <w:tab w:val="center" w:pos="4252"/>
        <w:tab w:val="right" w:pos="8504"/>
      </w:tabs>
    </w:pPr>
  </w:style>
  <w:style w:type="character" w:customStyle="1" w:styleId="CabealhoChar">
    <w:name w:val="Cabeçalho Char"/>
    <w:basedOn w:val="Fontepargpadro"/>
    <w:link w:val="Cabealho"/>
    <w:uiPriority w:val="99"/>
    <w:rsid w:val="00154911"/>
    <w:rPr>
      <w:rFonts w:ascii="Arial" w:hAnsi="Arial" w:cs="Arial"/>
      <w:sz w:val="20"/>
    </w:rPr>
  </w:style>
  <w:style w:type="paragraph" w:styleId="Rodap">
    <w:name w:val="footer"/>
    <w:basedOn w:val="Normal"/>
    <w:link w:val="RodapChar"/>
    <w:uiPriority w:val="99"/>
    <w:unhideWhenUsed/>
    <w:rsid w:val="00154911"/>
    <w:pPr>
      <w:tabs>
        <w:tab w:val="center" w:pos="4252"/>
        <w:tab w:val="right" w:pos="8504"/>
      </w:tabs>
    </w:pPr>
  </w:style>
  <w:style w:type="character" w:customStyle="1" w:styleId="RodapChar">
    <w:name w:val="Rodapé Char"/>
    <w:basedOn w:val="Fontepargpadro"/>
    <w:link w:val="Rodap"/>
    <w:uiPriority w:val="99"/>
    <w:rsid w:val="00154911"/>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leg.br/legin/fed/emecon/2014/emendaconstitucional-84-2-dezembro-2014-779653-publicacaooriginal-145516-pl.html" TargetMode="External"/><Relationship Id="rId13" Type="http://schemas.openxmlformats.org/officeDocument/2006/relationships/hyperlink" Target="http://www2.camara.leg.br/legin/fed/leicom/2014/leicomplementar-148-25-novembro-2014-779611-veto-145463-pl.html"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2.camara.leg.br/legin/fed/leicom/2014/leicomplementar-148-25-novembro-2014-779611-veto-145463-pl.html" TargetMode="External"/><Relationship Id="rId17"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leg.br/legin/fed/leicom/2014/leicomplementar-148-25-novembro-2014-779611-veto-145463-pl.htm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2.camara.leg.br/legin/fed/leicom/2014/leicomplementar-148-25-novembro-2014-779611-veto-145463-pl.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2.camara.leg.br/legin/fed/emecon/2014/emendaconstitucional-84-2-dezembro-2014-779653-publicacaooriginal-145516-pl.html"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3598</Words>
  <Characters>20655</Characters>
  <Application>Microsoft Office Word</Application>
  <DocSecurity>0</DocSecurity>
  <Lines>491</Lines>
  <Paragraphs>222</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24031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cp:lastPrinted>2015-03-06T14:14:00Z</cp:lastPrinted>
  <dcterms:created xsi:type="dcterms:W3CDTF">2015-03-06T16:33:00Z</dcterms:created>
  <dcterms:modified xsi:type="dcterms:W3CDTF">2015-03-06T20:21:00Z</dcterms:modified>
</cp:coreProperties>
</file>