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FAC" w:rsidRDefault="007B073A" w:rsidP="007E1AF1">
      <w:pPr>
        <w:jc w:val="center"/>
      </w:pPr>
      <w:bookmarkStart w:id="0" w:name="z947825_BRASAO"/>
      <w:bookmarkStart w:id="1" w:name="z94782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B073A" w:rsidRPr="007B073A" w:rsidRDefault="007B073A">
                            <w:pPr>
                              <w:rPr>
                                <w:rFonts w:ascii="Times New Roman" w:hAnsi="Times New Roman" w:cs="Times New Roman"/>
                                <w:sz w:val="34"/>
                              </w:rPr>
                            </w:pPr>
                            <w:r w:rsidRPr="007B073A">
                              <w:rPr>
                                <w:rFonts w:ascii="3 of 9 Barcode" w:hAnsi="3 of 9 Barcode"/>
                                <w:sz w:val="34"/>
                              </w:rPr>
                              <w:t>*C0051474A*</w:t>
                            </w:r>
                            <w:bookmarkStart w:id="2" w:name="_GoBack"/>
                          </w:p>
                          <w:bookmarkEnd w:id="2"/>
                          <w:p w:rsidR="007B073A" w:rsidRPr="007B073A" w:rsidRDefault="007B073A">
                            <w:pPr>
                              <w:rPr>
                                <w:rFonts w:ascii="Times New Roman" w:hAnsi="Times New Roman" w:cs="Times New Roman"/>
                              </w:rPr>
                            </w:pPr>
                            <w:r>
                              <w:rPr>
                                <w:rFonts w:ascii="Times New Roman" w:hAnsi="Times New Roman" w:cs="Times New Roman"/>
                              </w:rPr>
                              <w:t>C0051474A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7B073A" w:rsidRPr="007B073A" w:rsidRDefault="007B073A">
                      <w:pPr>
                        <w:rPr>
                          <w:rFonts w:ascii="Times New Roman" w:hAnsi="Times New Roman" w:cs="Times New Roman"/>
                          <w:sz w:val="34"/>
                        </w:rPr>
                      </w:pPr>
                      <w:r w:rsidRPr="007B073A">
                        <w:rPr>
                          <w:rFonts w:ascii="3 of 9 Barcode" w:hAnsi="3 of 9 Barcode"/>
                          <w:sz w:val="34"/>
                        </w:rPr>
                        <w:t>*C0051474A*</w:t>
                      </w:r>
                      <w:bookmarkStart w:id="3" w:name="_GoBack"/>
                    </w:p>
                    <w:bookmarkEnd w:id="3"/>
                    <w:p w:rsidR="007B073A" w:rsidRPr="007B073A" w:rsidRDefault="007B073A">
                      <w:pPr>
                        <w:rPr>
                          <w:rFonts w:ascii="Times New Roman" w:hAnsi="Times New Roman" w:cs="Times New Roman"/>
                        </w:rPr>
                      </w:pPr>
                      <w:r>
                        <w:rPr>
                          <w:rFonts w:ascii="Times New Roman" w:hAnsi="Times New Roman" w:cs="Times New Roman"/>
                        </w:rPr>
                        <w:t>C0051474A</w:t>
                      </w:r>
                    </w:p>
                  </w:txbxContent>
                </v:textbox>
                <w10:wrap anchorx="page" anchory="page"/>
              </v:shape>
            </w:pict>
          </mc:Fallback>
        </mc:AlternateContent>
      </w:r>
      <w:r w:rsidR="007E1AF1">
        <w:rPr>
          <w:noProof/>
          <w:lang w:eastAsia="pt-BR"/>
        </w:rPr>
        <w:drawing>
          <wp:inline distT="0" distB="0" distL="0" distR="0" wp14:anchorId="53560B8D" wp14:editId="27061377">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7E1AF1" w:rsidRDefault="007E1AF1" w:rsidP="007E1AF1">
      <w:pPr>
        <w:jc w:val="center"/>
        <w:rPr>
          <w:b/>
          <w:sz w:val="24"/>
        </w:rPr>
      </w:pPr>
      <w:r>
        <w:rPr>
          <w:b/>
          <w:sz w:val="24"/>
        </w:rPr>
        <w:t>CÂMARA DOS DEPUTADOS</w:t>
      </w:r>
    </w:p>
    <w:bookmarkEnd w:id="0"/>
    <w:p w:rsidR="007E1AF1" w:rsidRDefault="007E1AF1" w:rsidP="007E1AF1">
      <w:pPr>
        <w:rPr>
          <w:sz w:val="24"/>
        </w:rPr>
      </w:pPr>
    </w:p>
    <w:p w:rsidR="007E1AF1" w:rsidRDefault="007E1AF1" w:rsidP="007E1AF1">
      <w:pPr>
        <w:keepNext/>
        <w:keepLines/>
        <w:jc w:val="center"/>
        <w:rPr>
          <w:b/>
          <w:sz w:val="44"/>
        </w:rPr>
      </w:pPr>
      <w:bookmarkStart w:id="4" w:name="z947825_TITULO"/>
      <w:r>
        <w:rPr>
          <w:b/>
          <w:sz w:val="44"/>
        </w:rPr>
        <w:t>PROJETO DE LEI N.º 434, DE 2015</w:t>
      </w:r>
      <w:bookmarkEnd w:id="4"/>
    </w:p>
    <w:p w:rsidR="007E1AF1" w:rsidRDefault="007E1AF1" w:rsidP="007E1AF1">
      <w:pPr>
        <w:keepLines/>
        <w:jc w:val="center"/>
        <w:rPr>
          <w:b/>
          <w:sz w:val="28"/>
        </w:rPr>
      </w:pPr>
      <w:bookmarkStart w:id="5" w:name="z947825_AUTOR"/>
      <w:r>
        <w:rPr>
          <w:b/>
          <w:sz w:val="28"/>
        </w:rPr>
        <w:t>(Da Sra. Alice Portugal)</w:t>
      </w:r>
      <w:bookmarkEnd w:id="5"/>
    </w:p>
    <w:p w:rsidR="007E1AF1" w:rsidRDefault="007E1AF1" w:rsidP="007E1AF1">
      <w:pPr>
        <w:keepLines/>
        <w:jc w:val="center"/>
        <w:rPr>
          <w:b/>
          <w:sz w:val="28"/>
        </w:rPr>
      </w:pPr>
    </w:p>
    <w:p w:rsidR="007E1AF1" w:rsidRDefault="007E1AF1" w:rsidP="007E1AF1">
      <w:pPr>
        <w:rPr>
          <w:sz w:val="28"/>
        </w:rPr>
      </w:pPr>
      <w:bookmarkStart w:id="6" w:name="z947825_EMENTA"/>
      <w:r>
        <w:rPr>
          <w:sz w:val="28"/>
        </w:rPr>
        <w:t>Acresce artigo à Lei 8.078, de 11 de setembro de 1990, Código de Defesa do Consumidor, para tipificar a obtenção de vantagem pelo encaminhamento de procedimentos, pela comercialização de medicamentos, órteses, próteses ou implantes de qualquer natureza.</w:t>
      </w:r>
      <w:bookmarkEnd w:id="6"/>
    </w:p>
    <w:p w:rsidR="007E1AF1" w:rsidRDefault="007E1AF1" w:rsidP="007E1AF1">
      <w:pPr>
        <w:rPr>
          <w:sz w:val="28"/>
        </w:rPr>
      </w:pPr>
    </w:p>
    <w:p w:rsidR="007E1AF1" w:rsidRDefault="007E1AF1" w:rsidP="007E1AF1">
      <w:pPr>
        <w:pBdr>
          <w:top w:val="single" w:sz="4" w:space="1" w:color="auto"/>
          <w:left w:val="single" w:sz="4" w:space="4" w:color="auto"/>
          <w:bottom w:val="single" w:sz="4" w:space="1" w:color="auto"/>
          <w:right w:val="single" w:sz="4" w:space="4" w:color="auto"/>
        </w:pBdr>
        <w:rPr>
          <w:b/>
          <w:sz w:val="28"/>
        </w:rPr>
      </w:pPr>
      <w:bookmarkStart w:id="7" w:name="z947825_DESPACHO"/>
    </w:p>
    <w:p w:rsidR="007E1AF1" w:rsidRDefault="007E1AF1" w:rsidP="007E1AF1">
      <w:pPr>
        <w:pBdr>
          <w:top w:val="single" w:sz="4" w:space="1" w:color="auto"/>
          <w:left w:val="single" w:sz="4" w:space="4" w:color="auto"/>
          <w:bottom w:val="single" w:sz="4" w:space="1" w:color="auto"/>
          <w:right w:val="single" w:sz="4" w:space="4" w:color="auto"/>
        </w:pBdr>
        <w:rPr>
          <w:b/>
          <w:sz w:val="28"/>
        </w:rPr>
      </w:pPr>
      <w:r>
        <w:rPr>
          <w:b/>
          <w:sz w:val="28"/>
        </w:rPr>
        <w:t>DESPACHO:</w:t>
      </w:r>
    </w:p>
    <w:p w:rsidR="007E1AF1" w:rsidRDefault="007E1AF1" w:rsidP="007E1AF1">
      <w:pPr>
        <w:pBdr>
          <w:top w:val="single" w:sz="4" w:space="1" w:color="auto"/>
          <w:left w:val="single" w:sz="4" w:space="4" w:color="auto"/>
          <w:bottom w:val="single" w:sz="4" w:space="1" w:color="auto"/>
          <w:right w:val="single" w:sz="4" w:space="4" w:color="auto"/>
        </w:pBdr>
        <w:rPr>
          <w:sz w:val="28"/>
        </w:rPr>
      </w:pPr>
      <w:r>
        <w:rPr>
          <w:sz w:val="28"/>
        </w:rPr>
        <w:t xml:space="preserve">APENSE-SE À(AO) PL-221/2015. </w:t>
      </w:r>
    </w:p>
    <w:p w:rsidR="007E1AF1" w:rsidRDefault="007E1AF1" w:rsidP="007E1AF1">
      <w:pPr>
        <w:pBdr>
          <w:top w:val="single" w:sz="4" w:space="1" w:color="auto"/>
          <w:left w:val="single" w:sz="4" w:space="4" w:color="auto"/>
          <w:bottom w:val="single" w:sz="4" w:space="1" w:color="auto"/>
          <w:right w:val="single" w:sz="4" w:space="4" w:color="auto"/>
        </w:pBdr>
        <w:rPr>
          <w:sz w:val="28"/>
        </w:rPr>
      </w:pPr>
    </w:p>
    <w:p w:rsidR="007E1AF1" w:rsidRDefault="007E1AF1" w:rsidP="007E1AF1">
      <w:pPr>
        <w:pBdr>
          <w:top w:val="single" w:sz="4" w:space="1" w:color="auto"/>
          <w:left w:val="single" w:sz="4" w:space="4" w:color="auto"/>
          <w:bottom w:val="single" w:sz="4" w:space="1" w:color="auto"/>
          <w:right w:val="single" w:sz="4" w:space="4" w:color="auto"/>
        </w:pBdr>
        <w:rPr>
          <w:b/>
          <w:sz w:val="28"/>
        </w:rPr>
      </w:pPr>
      <w:bookmarkStart w:id="8" w:name="z947825_APRECIACAO"/>
      <w:bookmarkEnd w:id="7"/>
      <w:r>
        <w:rPr>
          <w:b/>
          <w:sz w:val="28"/>
        </w:rPr>
        <w:t>APRECIAÇÃO:</w:t>
      </w:r>
    </w:p>
    <w:p w:rsidR="007E1AF1" w:rsidRDefault="007E1AF1" w:rsidP="007E1AF1">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7E1AF1" w:rsidRDefault="007E1AF1" w:rsidP="007E1AF1">
      <w:pPr>
        <w:pBdr>
          <w:top w:val="single" w:sz="4" w:space="1" w:color="auto"/>
          <w:left w:val="single" w:sz="4" w:space="4" w:color="auto"/>
          <w:bottom w:val="single" w:sz="4" w:space="1" w:color="auto"/>
          <w:right w:val="single" w:sz="4" w:space="4" w:color="auto"/>
        </w:pBdr>
        <w:rPr>
          <w:sz w:val="28"/>
        </w:rPr>
      </w:pPr>
    </w:p>
    <w:bookmarkEnd w:id="8"/>
    <w:p w:rsidR="007E1AF1" w:rsidRDefault="007E1AF1" w:rsidP="007E1AF1">
      <w:pPr>
        <w:rPr>
          <w:sz w:val="28"/>
        </w:rPr>
      </w:pPr>
    </w:p>
    <w:p w:rsidR="007E1AF1" w:rsidRDefault="007E1AF1" w:rsidP="007E1AF1">
      <w:pPr>
        <w:jc w:val="center"/>
        <w:rPr>
          <w:b/>
          <w:sz w:val="28"/>
        </w:rPr>
      </w:pPr>
      <w:bookmarkStart w:id="9" w:name="z947825_PUBINICIAL"/>
      <w:r>
        <w:rPr>
          <w:b/>
          <w:sz w:val="28"/>
        </w:rPr>
        <w:t>PUBLICAÇÃO INICIAL</w:t>
      </w:r>
    </w:p>
    <w:p w:rsidR="007E1AF1" w:rsidRDefault="007E1AF1" w:rsidP="007E1AF1">
      <w:pPr>
        <w:jc w:val="center"/>
        <w:rPr>
          <w:b/>
        </w:rPr>
      </w:pPr>
      <w:r>
        <w:rPr>
          <w:b/>
        </w:rPr>
        <w:t>Art. 137, caput - RICD</w:t>
      </w:r>
    </w:p>
    <w:p w:rsidR="007E1AF1" w:rsidRDefault="007E1AF1">
      <w:pPr>
        <w:spacing w:after="200" w:line="276" w:lineRule="auto"/>
        <w:jc w:val="left"/>
        <w:rPr>
          <w:b/>
        </w:rPr>
      </w:pPr>
      <w:r>
        <w:rPr>
          <w:b/>
        </w:rPr>
        <w:br w:type="page"/>
      </w:r>
    </w:p>
    <w:p w:rsidR="007E1AF1" w:rsidRDefault="007E1AF1" w:rsidP="007E1AF1">
      <w:pPr>
        <w:widowControl w:val="0"/>
        <w:suppressAutoHyphens/>
        <w:spacing w:before="120"/>
        <w:ind w:firstLine="1134"/>
        <w:rPr>
          <w:rFonts w:eastAsia="Arial Unicode MS"/>
          <w:sz w:val="24"/>
          <w:szCs w:val="24"/>
        </w:rPr>
      </w:pPr>
      <w:bookmarkStart w:id="10" w:name="z947825_1304166_TEOR"/>
      <w:bookmarkEnd w:id="9"/>
      <w:r w:rsidRPr="007E1AF1">
        <w:rPr>
          <w:rFonts w:eastAsia="Arial Unicode MS"/>
          <w:sz w:val="24"/>
          <w:szCs w:val="24"/>
        </w:rPr>
        <w:lastRenderedPageBreak/>
        <w:t>O Congresso Nacional decreta:</w:t>
      </w:r>
    </w:p>
    <w:p w:rsidR="004E405D" w:rsidRPr="007E1AF1" w:rsidRDefault="004E405D" w:rsidP="007E1AF1">
      <w:pPr>
        <w:widowControl w:val="0"/>
        <w:suppressAutoHyphens/>
        <w:spacing w:before="120"/>
        <w:ind w:firstLine="1134"/>
        <w:rPr>
          <w:rFonts w:eastAsia="Arial Unicode MS"/>
          <w:sz w:val="24"/>
          <w:szCs w:val="24"/>
        </w:rPr>
      </w:pP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Art. 1.º Esta Lei acrescenta artigo à Lei 8.078, de 11 de setembro de 1990, para tipificar a obtenção de vantagem pelo encaminhamento de procedimentos, pela comercialização de medicamentos, órteses, próteses ou implantes de qualquer natureza.</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Art. 2.º A Lei 8.078, de 11 de setembro de 1990, passa a vigorar acrescido do parágrafo seguinte.</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Art. 66-A. Obter vantagem pelo encaminhamento de procedimentos, pela comercialização de medicamentos, órteses, próteses ou implantes de qualquer natureza, cuja compra decorra de influência direta em virtude de sua atividade profissional.</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Pena - Detenção de três meses a um ano e multa.</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Art. 3º. Esta lei entra em vigor na data de sua publicação.</w:t>
      </w:r>
    </w:p>
    <w:p w:rsidR="007E1AF1" w:rsidRPr="007E1AF1" w:rsidRDefault="007E1AF1" w:rsidP="007E1AF1">
      <w:pPr>
        <w:widowControl w:val="0"/>
        <w:suppressAutoHyphens/>
        <w:jc w:val="center"/>
        <w:rPr>
          <w:rFonts w:eastAsia="Arial Unicode MS"/>
          <w:b/>
          <w:sz w:val="24"/>
          <w:szCs w:val="24"/>
        </w:rPr>
      </w:pPr>
    </w:p>
    <w:p w:rsidR="007E1AF1" w:rsidRPr="007E1AF1" w:rsidRDefault="007E1AF1" w:rsidP="007E1AF1">
      <w:pPr>
        <w:widowControl w:val="0"/>
        <w:suppressAutoHyphens/>
        <w:jc w:val="center"/>
        <w:rPr>
          <w:rFonts w:eastAsia="Arial Unicode MS"/>
          <w:b/>
          <w:sz w:val="24"/>
          <w:szCs w:val="24"/>
        </w:rPr>
      </w:pPr>
      <w:r w:rsidRPr="007E1AF1">
        <w:rPr>
          <w:rFonts w:eastAsia="Arial Unicode MS"/>
          <w:b/>
          <w:sz w:val="24"/>
          <w:szCs w:val="24"/>
        </w:rPr>
        <w:t>JUSTIFICAÇÃO</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 presente proposição foi apresentada inicialmente pela deputada Manuela D’Ávila, que não concorreu à reeleição. Para evitar que a proposta fique arquivada e, atendendo pleito da ilustre parlamentar, tomo a iniciativa de reapresentar o presente projeto de lei.</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 xml:space="preserve">A conduta a que se pretende sancionar penalmente é eticamente condenada pela categoria médica, aprovado pela Resolução CFM 1931/2009, art. 68. Portanto, não há dúvida de que a conduta não é correta. Ela também se aproxima de um tipo penal previsto no art. 66 do Código de Defesa do Consumidor. Art. 66. </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Fazer afirmação falsa ou enganosa, ou omitir informação relevante sobre a natureza, característica, qualidade, quantidade, segurança, desempenho, durabilidade, preço ou garantia de produtos ou serviços: Pena - Detenção de três meses a um ano e multa. Porém, o Direito Penal exige que o tipo seja o mais específico possível, razão pela qual deve se criar o tipo para aquele que prescreve determinado produto e não simplesmente tenta persuadir o consumidor de suas vantagens.</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 xml:space="preserve">Evidentemente que o tipo proposto incrimina conduta do profissional de saúde, independentemente de perigo ou dano à saúde, pois, nesse caso há cominação de pena no Código Penal. Perigo para a vida ou saúde de outrem Art. 132 - Expor a vida ou a saúde de outrem a perigo direto e iminente: Pena - detenção, de três meses a um ano, se o fato não constitui crime mais grave. </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A pena é aumentada de um sexto a um terço se a exposição da vida ou da saúde de outrem a perigo decorre do transporte de pessoas para a prestação de serviços em estabelecimentos de qualquer natureza, em desacordo com as normas legais. Embora tomando como paradigma o Código de Ética Médica, a redação proposta também se aplica a outros profissionais de saúde, especialmente odontólogos.</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 xml:space="preserve">Não há dúvida que a relação médico-paciente seja relação de consumo, pois o Código de Defesa do Consumidor é que disciplina a responsabilidade civil do </w:t>
      </w:r>
      <w:r w:rsidRPr="007E1AF1">
        <w:rPr>
          <w:rFonts w:eastAsia="Arial Unicode MS"/>
          <w:sz w:val="24"/>
          <w:szCs w:val="24"/>
        </w:rPr>
        <w:lastRenderedPageBreak/>
        <w:t xml:space="preserve">profissional liberal, incluindo médicos e odontólogos. </w:t>
      </w:r>
    </w:p>
    <w:p w:rsidR="007E1AF1" w:rsidRPr="007E1AF1" w:rsidRDefault="007E1AF1" w:rsidP="007E1AF1">
      <w:pPr>
        <w:widowControl w:val="0"/>
        <w:suppressAutoHyphens/>
        <w:spacing w:before="120"/>
        <w:ind w:firstLine="1134"/>
        <w:rPr>
          <w:rFonts w:eastAsia="Arial Unicode MS"/>
          <w:sz w:val="24"/>
          <w:szCs w:val="24"/>
        </w:rPr>
      </w:pPr>
      <w:r w:rsidRPr="007E1AF1">
        <w:rPr>
          <w:rFonts w:eastAsia="Arial Unicode MS"/>
          <w:sz w:val="24"/>
          <w:szCs w:val="24"/>
        </w:rPr>
        <w:t>Lembrando que não é incomum em nosso sistema jurídico a aplicação de sanções de natureza penal, civil e administrativa, peço aos nobres Pares apoio a presente proposição.</w:t>
      </w:r>
    </w:p>
    <w:p w:rsidR="004E405D" w:rsidRDefault="004E405D" w:rsidP="007E1AF1">
      <w:pPr>
        <w:widowControl w:val="0"/>
        <w:suppressAutoHyphens/>
        <w:spacing w:before="120"/>
        <w:ind w:firstLine="1134"/>
        <w:jc w:val="left"/>
        <w:rPr>
          <w:rFonts w:eastAsia="Arial Unicode MS"/>
          <w:sz w:val="24"/>
          <w:szCs w:val="24"/>
        </w:rPr>
      </w:pPr>
    </w:p>
    <w:p w:rsidR="007E1AF1" w:rsidRPr="007E1AF1" w:rsidRDefault="007E1AF1" w:rsidP="007E1AF1">
      <w:pPr>
        <w:widowControl w:val="0"/>
        <w:suppressAutoHyphens/>
        <w:spacing w:before="120"/>
        <w:ind w:firstLine="1134"/>
        <w:jc w:val="left"/>
        <w:rPr>
          <w:rFonts w:eastAsia="Arial Unicode MS"/>
          <w:sz w:val="24"/>
          <w:szCs w:val="24"/>
        </w:rPr>
      </w:pPr>
      <w:r w:rsidRPr="007E1AF1">
        <w:rPr>
          <w:rFonts w:eastAsia="Arial Unicode MS"/>
          <w:sz w:val="24"/>
          <w:szCs w:val="24"/>
        </w:rPr>
        <w:t xml:space="preserve"> Sala das Sessões, em </w:t>
      </w:r>
      <w:r w:rsidR="004E405D">
        <w:rPr>
          <w:rFonts w:eastAsia="Arial Unicode MS"/>
          <w:sz w:val="24"/>
          <w:szCs w:val="24"/>
        </w:rPr>
        <w:t xml:space="preserve">24 </w:t>
      </w:r>
      <w:r w:rsidRPr="007E1AF1">
        <w:rPr>
          <w:rFonts w:eastAsia="Arial Unicode MS"/>
          <w:sz w:val="24"/>
          <w:szCs w:val="24"/>
        </w:rPr>
        <w:t>de</w:t>
      </w:r>
      <w:r w:rsidR="004E405D">
        <w:rPr>
          <w:rFonts w:eastAsia="Arial Unicode MS"/>
          <w:sz w:val="24"/>
          <w:szCs w:val="24"/>
        </w:rPr>
        <w:t xml:space="preserve"> fevereiro </w:t>
      </w:r>
      <w:r w:rsidRPr="007E1AF1">
        <w:rPr>
          <w:rFonts w:eastAsia="Arial Unicode MS"/>
          <w:sz w:val="24"/>
          <w:szCs w:val="24"/>
        </w:rPr>
        <w:t xml:space="preserve">de 2015. </w:t>
      </w:r>
    </w:p>
    <w:p w:rsidR="007E1AF1" w:rsidRPr="007E1AF1" w:rsidRDefault="007E1AF1" w:rsidP="007E1AF1">
      <w:pPr>
        <w:widowControl w:val="0"/>
        <w:suppressAutoHyphens/>
        <w:jc w:val="left"/>
        <w:rPr>
          <w:rFonts w:eastAsia="Arial Unicode MS"/>
          <w:sz w:val="24"/>
          <w:szCs w:val="24"/>
        </w:rPr>
      </w:pPr>
    </w:p>
    <w:p w:rsidR="007E1AF1" w:rsidRPr="007E1AF1" w:rsidRDefault="007E1AF1" w:rsidP="007E1AF1">
      <w:pPr>
        <w:widowControl w:val="0"/>
        <w:suppressAutoHyphens/>
        <w:jc w:val="left"/>
        <w:rPr>
          <w:rFonts w:eastAsia="Arial Unicode MS"/>
          <w:sz w:val="24"/>
          <w:szCs w:val="24"/>
        </w:rPr>
      </w:pPr>
    </w:p>
    <w:p w:rsidR="007E1AF1" w:rsidRPr="007E1AF1" w:rsidRDefault="007E1AF1" w:rsidP="007E1AF1">
      <w:pPr>
        <w:widowControl w:val="0"/>
        <w:suppressAutoHyphens/>
        <w:jc w:val="center"/>
        <w:rPr>
          <w:rFonts w:eastAsia="Arial Unicode MS"/>
          <w:sz w:val="24"/>
          <w:szCs w:val="24"/>
        </w:rPr>
      </w:pPr>
      <w:r w:rsidRPr="007E1AF1">
        <w:rPr>
          <w:rFonts w:eastAsia="Arial Unicode MS"/>
          <w:sz w:val="24"/>
          <w:szCs w:val="24"/>
        </w:rPr>
        <w:t xml:space="preserve">Deputada </w:t>
      </w:r>
      <w:r w:rsidRPr="007E1AF1">
        <w:rPr>
          <w:rFonts w:eastAsia="Arial Unicode MS"/>
          <w:b/>
          <w:sz w:val="24"/>
          <w:szCs w:val="24"/>
        </w:rPr>
        <w:t>ALICE PORTUGAL</w:t>
      </w:r>
    </w:p>
    <w:p w:rsidR="007E1AF1" w:rsidRPr="007E1AF1" w:rsidRDefault="007E1AF1" w:rsidP="007E1AF1">
      <w:pPr>
        <w:widowControl w:val="0"/>
        <w:suppressAutoHyphens/>
        <w:jc w:val="left"/>
        <w:rPr>
          <w:rFonts w:ascii="Times New Roman" w:eastAsia="Arial Unicode MS" w:hAnsi="Times New Roman" w:cs="Times New Roman"/>
          <w:sz w:val="24"/>
          <w:szCs w:val="26"/>
        </w:rPr>
      </w:pPr>
    </w:p>
    <w:p w:rsidR="007E1AF1" w:rsidRDefault="007E1AF1" w:rsidP="007E1AF1">
      <w:pPr>
        <w:pBdr>
          <w:top w:val="single" w:sz="4" w:space="1" w:color="auto"/>
          <w:left w:val="single" w:sz="4" w:space="4" w:color="auto"/>
          <w:bottom w:val="single" w:sz="4" w:space="1" w:color="auto"/>
          <w:right w:val="single" w:sz="4" w:space="4" w:color="auto"/>
        </w:pBdr>
        <w:jc w:val="center"/>
        <w:rPr>
          <w:b/>
          <w:sz w:val="24"/>
        </w:rPr>
      </w:pPr>
      <w:bookmarkStart w:id="11" w:name="z947825_LEGISLACAO"/>
      <w:bookmarkEnd w:id="10"/>
      <w:r>
        <w:rPr>
          <w:b/>
          <w:sz w:val="24"/>
        </w:rPr>
        <w:t>LEGISLAÇÃO CITADA ANEXADA PELA</w:t>
      </w:r>
    </w:p>
    <w:p w:rsidR="007E1AF1" w:rsidRDefault="007E1AF1" w:rsidP="007E1AF1">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7E1AF1" w:rsidRDefault="007E1AF1" w:rsidP="007E1AF1">
      <w:pPr>
        <w:jc w:val="center"/>
        <w:rPr>
          <w:b/>
          <w:sz w:val="24"/>
        </w:rPr>
      </w:pPr>
    </w:p>
    <w:p w:rsidR="007E1AF1" w:rsidRPr="007E1AF1" w:rsidRDefault="007E1AF1" w:rsidP="007E1AF1">
      <w:pPr>
        <w:keepNext/>
        <w:jc w:val="center"/>
        <w:outlineLvl w:val="2"/>
        <w:rPr>
          <w:rFonts w:ascii="Times New Roman" w:eastAsia="Times New Roman" w:hAnsi="Times New Roman" w:cs="Times New Roman"/>
          <w:b/>
          <w:sz w:val="28"/>
          <w:szCs w:val="20"/>
          <w:lang w:eastAsia="pt-BR"/>
        </w:rPr>
      </w:pPr>
      <w:r w:rsidRPr="007E1AF1">
        <w:rPr>
          <w:rFonts w:ascii="Times New Roman" w:eastAsia="Times New Roman" w:hAnsi="Times New Roman" w:cs="Times New Roman"/>
          <w:b/>
          <w:sz w:val="28"/>
          <w:szCs w:val="20"/>
          <w:lang w:eastAsia="pt-BR"/>
        </w:rPr>
        <w:t>LEI Nº 8.078, DE 11 DE SETEMBRO DE 1990</w:t>
      </w:r>
    </w:p>
    <w:p w:rsidR="007E1AF1" w:rsidRPr="007E1AF1" w:rsidRDefault="007E1AF1" w:rsidP="007E1AF1">
      <w:pPr>
        <w:ind w:firstLine="1134"/>
        <w:jc w:val="center"/>
        <w:rPr>
          <w:rFonts w:ascii="Times New Roman" w:eastAsia="Times New Roman" w:hAnsi="Times New Roman" w:cs="Times New Roman"/>
          <w:b/>
          <w:sz w:val="24"/>
          <w:szCs w:val="20"/>
          <w:lang w:eastAsia="pt-BR"/>
        </w:rPr>
      </w:pPr>
    </w:p>
    <w:p w:rsidR="007E1AF1" w:rsidRPr="007E1AF1" w:rsidRDefault="007E1AF1" w:rsidP="007E1AF1">
      <w:pPr>
        <w:ind w:left="4536"/>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Dispõe sobre a proteção do consumidor e dá outras providências.</w:t>
      </w:r>
    </w:p>
    <w:p w:rsidR="007E1AF1" w:rsidRPr="007E1AF1" w:rsidRDefault="007E1AF1" w:rsidP="007E1AF1">
      <w:pPr>
        <w:ind w:firstLine="1134"/>
        <w:rPr>
          <w:rFonts w:ascii="Times New Roman" w:eastAsia="Times New Roman" w:hAnsi="Times New Roman" w:cs="Times New Roman"/>
          <w:sz w:val="24"/>
          <w:szCs w:val="20"/>
          <w:lang w:eastAsia="pt-BR"/>
        </w:rPr>
      </w:pP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O PRESIDENTE DA REPÚBLICA </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Faço saber que o Congresso Nacional decreta e eu sanciono a seguinte lei:</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w:t>
      </w:r>
    </w:p>
    <w:p w:rsidR="007E1AF1" w:rsidRPr="007E1AF1" w:rsidRDefault="007E1AF1" w:rsidP="007E1AF1">
      <w:pPr>
        <w:jc w:val="center"/>
        <w:rPr>
          <w:rFonts w:ascii="Times New Roman" w:eastAsia="Times New Roman" w:hAnsi="Times New Roman" w:cs="Times New Roman"/>
          <w:sz w:val="24"/>
          <w:szCs w:val="20"/>
          <w:lang w:eastAsia="pt-BR"/>
        </w:rPr>
      </w:pP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TÍTULO II</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DAS INFRAÇÕES PENAIS</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w:t>
      </w:r>
    </w:p>
    <w:p w:rsidR="007E1AF1" w:rsidRPr="007E1AF1" w:rsidRDefault="007E1AF1" w:rsidP="007E1AF1">
      <w:pPr>
        <w:ind w:firstLine="1134"/>
        <w:rPr>
          <w:rFonts w:ascii="Times New Roman" w:eastAsia="Times New Roman" w:hAnsi="Times New Roman" w:cs="Times New Roman"/>
          <w:sz w:val="24"/>
          <w:szCs w:val="20"/>
          <w:lang w:eastAsia="pt-BR"/>
        </w:rPr>
      </w:pP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Art. 66. Fazer afirmação falsa ou enganosa, ou omitir informação relevante sobre a natureza, característica, qualidade, quantidade, segurança, desempenho, durabilidade, preço ou garantia de produtos ou serviços: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Detenção de três meses a um ano e multa.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 1º Incorrerá nas mesmas penas quem patrocinar a oferta.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 2º Se o crime é culposo;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Detenção de um a seis meses ou multa. </w:t>
      </w:r>
    </w:p>
    <w:p w:rsidR="007E1AF1" w:rsidRPr="007E1AF1" w:rsidRDefault="007E1AF1" w:rsidP="007E1AF1">
      <w:pPr>
        <w:ind w:firstLine="1134"/>
        <w:rPr>
          <w:rFonts w:ascii="Times New Roman" w:eastAsia="Times New Roman" w:hAnsi="Times New Roman" w:cs="Times New Roman"/>
          <w:sz w:val="24"/>
          <w:szCs w:val="20"/>
          <w:lang w:eastAsia="pt-BR"/>
        </w:rPr>
      </w:pP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Art. 67. Fazer ou promover publicidade que sabe ou deveria saber ser enganosa ou abusiva: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Detenção de três meses a um ano e multa.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Parágrafo único. (VETADO). </w:t>
      </w: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Default="007E1AF1" w:rsidP="007E1AF1">
      <w:pPr>
        <w:jc w:val="center"/>
        <w:rPr>
          <w:rFonts w:ascii="Times New Roman" w:eastAsia="Times New Roman" w:hAnsi="Times New Roman" w:cs="Times New Roman"/>
          <w:sz w:val="24"/>
          <w:szCs w:val="24"/>
          <w:lang w:eastAsia="pt-BR"/>
        </w:rPr>
      </w:pPr>
    </w:p>
    <w:p w:rsidR="007E1AF1" w:rsidRPr="007E1AF1" w:rsidRDefault="007E1AF1" w:rsidP="007E1AF1">
      <w:pPr>
        <w:jc w:val="center"/>
        <w:rPr>
          <w:rFonts w:ascii="Times New Roman" w:eastAsia="Times New Roman" w:hAnsi="Times New Roman" w:cs="Times New Roman"/>
          <w:b/>
          <w:sz w:val="28"/>
          <w:szCs w:val="28"/>
          <w:lang w:eastAsia="pt-BR"/>
        </w:rPr>
      </w:pPr>
      <w:r w:rsidRPr="007E1AF1">
        <w:rPr>
          <w:rFonts w:ascii="Times New Roman" w:eastAsia="Times New Roman" w:hAnsi="Times New Roman" w:cs="Times New Roman"/>
          <w:b/>
          <w:sz w:val="28"/>
          <w:szCs w:val="28"/>
          <w:lang w:eastAsia="pt-BR"/>
        </w:rPr>
        <w:t>RESOLUÇÃO CFM Nº 1931/2009</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ind w:left="4536"/>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Aprova o Código de Ética Médica.</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 xml:space="preserve">O CONSELHO FEDERAL DE MEDICINA, no uso das atribuições conferidas pela Lei n.º 3.268, de 30 de setembro de 1957, regulamentada pelo Decreto n.º 44.045, de 19 de julho de 1958, modificado pelo Decreto n.º 6.821, de 14 de abril de 2009 e pela Lei n.º </w:t>
      </w:r>
      <w:r w:rsidRPr="007E1AF1">
        <w:rPr>
          <w:rFonts w:ascii="Times New Roman" w:eastAsia="Times New Roman" w:hAnsi="Times New Roman" w:cs="Times New Roman"/>
          <w:sz w:val="24"/>
          <w:szCs w:val="24"/>
          <w:lang w:eastAsia="pt-BR"/>
        </w:rPr>
        <w:lastRenderedPageBreak/>
        <w:t>11.000, de 15 de dezembro de 2004, e, consubstanciado nas Leis n.º 6.828, de 29 de outubro de 1980 e Lei n.º 9.784, de 29 de janeiro de 1999; e</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que os Conselhos de Medicina são ao mesmo tempo julgadores e disciplinadores da classe médica, cabendo-lhes zelar e trabalhar, por todos os meios ao seu alcance, pelo perfeito desempenho ético da Medicina e pelo prestígio e bom conceito da profissão e dos que a exerçam legalmente;</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que as normas do Código de Ética Médica devem submeter-se aos dispositivos constitucionais vigentes;</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a busca de melhor relacionamento com o paciente e a garantia de maior autonomia à sua vontade;</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as propostas formuladas ao longo dos anos de 2008 e 2009 e pelos Conselhos Regionais de Medicina, pelas Entidades Médicas, pelos médicos e por instituições científicas e universitárias para a revisão do atual Código de Ética Médica;</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as decisões da IV Conferência Nacional de Ética Médica que elaborou, com participação de Delegados Médicos de todo o Brasil, um novo Código de Ética Médica revisado.</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o decidido pelo Conselho Pleno Nacional reunido em 29 de agosto de 2009;</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CONSIDERANDO, finalmente, o decidido em sessão plenária de 17 de setembro de 2009.</w:t>
      </w: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RESOLVE:</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Art. 1º Aprovar o Código de Ética Médica, anexo a esta Resolução, após sua revisão e atualização.</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Art. 2º O Conselho Federal de Medicina, sempre que necessário, expedirá Resoluções que complementem este Código de Ética Médica e facilitem sua aplicação.</w:t>
      </w:r>
    </w:p>
    <w:p w:rsidR="007E1AF1" w:rsidRPr="007E1AF1" w:rsidRDefault="007E1AF1" w:rsidP="007E1AF1">
      <w:pPr>
        <w:ind w:firstLine="1134"/>
        <w:rPr>
          <w:rFonts w:ascii="Times New Roman" w:eastAsia="Times New Roman" w:hAnsi="Times New Roman" w:cs="Times New Roman"/>
          <w:sz w:val="24"/>
          <w:szCs w:val="24"/>
          <w:lang w:eastAsia="pt-BR"/>
        </w:rPr>
      </w:pP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Art. 3º O Código anexo a esta Resolução entra em vigor cento e oitenta dias após a data de sua publicação e, a partir daí, revoga-se o Código de Ética Médica aprovado pela Resolução CFM n.º 1.246, publicada no Diário Oficial da União, no dia 26 de janeiro de 1988, Seção I, páginas 1574-1579, bem como as demais disposições em contrário.</w:t>
      </w:r>
    </w:p>
    <w:p w:rsidR="007E1AF1" w:rsidRPr="007E1AF1" w:rsidRDefault="007E1AF1" w:rsidP="007E1AF1">
      <w:pPr>
        <w:ind w:firstLine="1134"/>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Brasília, 17 de setembro de 2009</w:t>
      </w:r>
    </w:p>
    <w:p w:rsidR="007E1AF1" w:rsidRPr="007E1AF1" w:rsidRDefault="007E1AF1" w:rsidP="007E1AF1">
      <w:pPr>
        <w:jc w:val="left"/>
        <w:rPr>
          <w:rFonts w:ascii="Times New Roman" w:eastAsia="Times New Roman" w:hAnsi="Times New Roman" w:cs="Times New Roman"/>
          <w:sz w:val="24"/>
          <w:szCs w:val="24"/>
          <w:lang w:eastAsia="pt-BR"/>
        </w:rPr>
      </w:pPr>
    </w:p>
    <w:p w:rsidR="007E1AF1" w:rsidRPr="007E1AF1" w:rsidRDefault="007E1AF1" w:rsidP="007E1AF1">
      <w:pPr>
        <w:jc w:val="left"/>
        <w:rPr>
          <w:rFonts w:ascii="Times New Roman" w:eastAsia="Times New Roman" w:hAnsi="Times New Roman" w:cs="Times New Roman"/>
          <w:sz w:val="24"/>
          <w:szCs w:val="24"/>
          <w:lang w:eastAsia="pt-BR"/>
        </w:rPr>
      </w:pP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EDSON DE OLIVEIRA ANDRADE                                LÍVIA BARROS GARÇÃO</w:t>
      </w:r>
    </w:p>
    <w:p w:rsidR="007E1AF1" w:rsidRPr="007E1AF1" w:rsidRDefault="007E1AF1" w:rsidP="007E1AF1">
      <w:pPr>
        <w:jc w:val="left"/>
        <w:rPr>
          <w:rFonts w:ascii="Times New Roman" w:eastAsia="Times New Roman" w:hAnsi="Times New Roman" w:cs="Times New Roman"/>
          <w:sz w:val="24"/>
          <w:szCs w:val="24"/>
          <w:lang w:eastAsia="pt-BR"/>
        </w:rPr>
      </w:pP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 xml:space="preserve">           Presidente                                                       Secretária-Geral</w:t>
      </w:r>
    </w:p>
    <w:p w:rsidR="007E1AF1" w:rsidRPr="007E1AF1" w:rsidRDefault="007E1AF1" w:rsidP="007E1AF1">
      <w:pPr>
        <w:jc w:val="left"/>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I – O presente Código de Ética Médica contém as normas que devem ser seguidas pelos médicos no exercício de sua profissão, inclusive no exercício de atividades relativas ao ensino, à pesquisa e à administração de serviços de saúde, bem como no exercício de quaisquer outras atividades em que se utilize o conhecimento advindo do estudo da Medicina.</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II - As organizações de prestação de serviços médicos estão sujeitas  às normas deste Código.</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III - Para o exercício da Medicina impõe-se a inscrição no Conselho Regional do respectivo Estado, Território ou Distrito Federal.</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IV - A fim de garantir o acatamento e a cabal execução deste Código, o médico comunicará ao Conselho Regional de Medicina, com discrição e fundamento, fatos de que tenha conhecimento e que caracterizem possível infração do presente Código e das demais normas que regulam o exercício da Medicina.</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V - A fiscalização do cumprimento das normas estabelecidas neste Código é atribuição dos Conselhos de Medicina, das comissões de ética e dos médicos em geral.</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VI - Este Código de Ética Médica é composto de 25 princípios fundamentais do exercício da Medicina, 10 normas diceológicas, 118 normas deontológicas e quatro disposições gerais. A transgressão das normas deontológicas sujeitará os infratores às penas disciplinares previstas em lei.</w:t>
      </w: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Pr="007E1AF1" w:rsidRDefault="007E1AF1" w:rsidP="007E1AF1">
      <w:pPr>
        <w:jc w:val="left"/>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Art. 68. Exercer a profissão com interação ou dependência de farmácia, indústria farmacêutica, óptica ou qualquer organização destinada à fabricação, manipulação, promoção ou comercialização de produtos de prescrição médica, qualquer que seja sua natureza.</w:t>
      </w:r>
    </w:p>
    <w:p w:rsidR="007E1AF1" w:rsidRPr="007E1AF1" w:rsidRDefault="007E1AF1" w:rsidP="007E1AF1">
      <w:pPr>
        <w:rPr>
          <w:rFonts w:ascii="Times New Roman" w:eastAsia="Times New Roman" w:hAnsi="Times New Roman" w:cs="Times New Roman"/>
          <w:sz w:val="24"/>
          <w:szCs w:val="24"/>
          <w:lang w:eastAsia="pt-BR"/>
        </w:rPr>
      </w:pP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Art. 69. Exercer simultaneamente a Medicina e a Farmácia ou obter vantagem pelo encaminhamento de procedimentos, pela comercialização de medicamentos, órteses, próteses ou implantes de qualquer natureza, cuja compra decorra de influência direta em virtude de sua atividade profissional.</w:t>
      </w: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Pr="007E1AF1" w:rsidRDefault="007E1AF1" w:rsidP="007E1AF1">
      <w:pPr>
        <w:jc w:val="left"/>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Default="007E1AF1" w:rsidP="007E1AF1">
      <w:pPr>
        <w:ind w:left="4536"/>
        <w:jc w:val="center"/>
        <w:outlineLvl w:val="0"/>
        <w:rPr>
          <w:rFonts w:ascii="Times New Roman" w:eastAsia="Times New Roman" w:hAnsi="Times New Roman" w:cs="Times New Roman"/>
          <w:sz w:val="24"/>
          <w:szCs w:val="24"/>
          <w:lang w:eastAsia="pt-BR"/>
        </w:rPr>
      </w:pPr>
    </w:p>
    <w:p w:rsidR="007E1AF1" w:rsidRPr="007E1AF1" w:rsidRDefault="007E1AF1" w:rsidP="007E1AF1">
      <w:pPr>
        <w:keepNext/>
        <w:jc w:val="center"/>
        <w:outlineLvl w:val="1"/>
        <w:rPr>
          <w:rFonts w:ascii="Times New Roman" w:eastAsia="Times New Roman" w:hAnsi="Times New Roman" w:cs="Times New Roman"/>
          <w:b/>
          <w:sz w:val="28"/>
          <w:szCs w:val="20"/>
          <w:lang w:eastAsia="pt-BR"/>
        </w:rPr>
      </w:pPr>
      <w:r w:rsidRPr="007E1AF1">
        <w:rPr>
          <w:rFonts w:ascii="Times New Roman" w:eastAsia="Times New Roman" w:hAnsi="Times New Roman" w:cs="Times New Roman"/>
          <w:b/>
          <w:sz w:val="28"/>
          <w:szCs w:val="20"/>
          <w:lang w:eastAsia="pt-BR"/>
        </w:rPr>
        <w:t>DECRETO-LEI Nº 2.848, DE 7 DE DEZEMBRO DE 1940</w:t>
      </w:r>
    </w:p>
    <w:p w:rsidR="007E1AF1" w:rsidRPr="007E1AF1" w:rsidRDefault="007E1AF1" w:rsidP="007E1AF1">
      <w:pPr>
        <w:jc w:val="left"/>
        <w:rPr>
          <w:rFonts w:ascii="Times New Roman" w:eastAsia="Times New Roman" w:hAnsi="Times New Roman" w:cs="Times New Roman"/>
          <w:sz w:val="24"/>
          <w:szCs w:val="20"/>
          <w:lang w:eastAsia="pt-BR"/>
        </w:rPr>
      </w:pPr>
    </w:p>
    <w:p w:rsidR="007E1AF1" w:rsidRPr="007E1AF1" w:rsidRDefault="007E1AF1" w:rsidP="007E1AF1">
      <w:pPr>
        <w:ind w:firstLine="4536"/>
        <w:jc w:val="left"/>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Código Penal.</w:t>
      </w:r>
    </w:p>
    <w:p w:rsidR="007E1AF1" w:rsidRPr="007E1AF1" w:rsidRDefault="007E1AF1" w:rsidP="007E1AF1">
      <w:pPr>
        <w:jc w:val="left"/>
        <w:rPr>
          <w:rFonts w:ascii="Times New Roman" w:eastAsia="Times New Roman" w:hAnsi="Times New Roman" w:cs="Times New Roman"/>
          <w:sz w:val="24"/>
          <w:szCs w:val="20"/>
          <w:lang w:eastAsia="pt-BR"/>
        </w:rPr>
      </w:pP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b/>
          <w:sz w:val="24"/>
          <w:szCs w:val="20"/>
          <w:lang w:eastAsia="pt-BR"/>
        </w:rPr>
        <w:t>O PRESIDENTE DA REPÚBLICA</w:t>
      </w:r>
      <w:r w:rsidRPr="007E1AF1">
        <w:rPr>
          <w:rFonts w:ascii="Times New Roman" w:eastAsia="Times New Roman" w:hAnsi="Times New Roman" w:cs="Times New Roman"/>
          <w:sz w:val="24"/>
          <w:szCs w:val="20"/>
          <w:lang w:eastAsia="pt-BR"/>
        </w:rPr>
        <w:t xml:space="preserve">, usando da atribuição que lhe confere o art. 180 da Constituição, decreta a seguinte lei: </w:t>
      </w: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Pr="007E1AF1" w:rsidRDefault="007E1AF1" w:rsidP="007E1AF1">
      <w:pPr>
        <w:jc w:val="center"/>
        <w:outlineLvl w:val="0"/>
        <w:rPr>
          <w:rFonts w:ascii="Times New Roman" w:eastAsia="Times New Roman" w:hAnsi="Times New Roman" w:cs="Times New Roman"/>
          <w:sz w:val="24"/>
          <w:szCs w:val="20"/>
          <w:lang w:eastAsia="pt-BR"/>
        </w:rPr>
      </w:pPr>
    </w:p>
    <w:p w:rsidR="007E1AF1" w:rsidRPr="007E1AF1" w:rsidRDefault="007E1AF1" w:rsidP="007E1AF1">
      <w:pPr>
        <w:jc w:val="cente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PARTE ESPECIAL</w:t>
      </w:r>
    </w:p>
    <w:p w:rsidR="007E1AF1" w:rsidRPr="007E1AF1" w:rsidRDefault="007E1AF1" w:rsidP="007E1AF1">
      <w:pPr>
        <w:jc w:val="center"/>
        <w:rPr>
          <w:rFonts w:ascii="Times New Roman" w:eastAsia="Times New Roman" w:hAnsi="Times New Roman" w:cs="Times New Roman"/>
          <w:i/>
          <w:color w:val="0000FF"/>
          <w:sz w:val="24"/>
          <w:szCs w:val="20"/>
          <w:u w:val="single"/>
          <w:lang w:eastAsia="pt-BR"/>
        </w:rPr>
      </w:pPr>
      <w:r w:rsidRPr="007E1AF1">
        <w:rPr>
          <w:rFonts w:ascii="Times New Roman" w:eastAsia="Times New Roman" w:hAnsi="Times New Roman" w:cs="Times New Roman"/>
          <w:i/>
          <w:color w:val="FF0000"/>
          <w:sz w:val="24"/>
          <w:szCs w:val="20"/>
          <w:lang w:eastAsia="pt-BR"/>
        </w:rPr>
        <w:fldChar w:fldCharType="begin"/>
      </w:r>
      <w:r w:rsidRPr="007E1AF1">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"http://www2.camara.gov.br/internet/legislacao/legin.html/textos/visualizarTexto.html?ideNorma=356852&amp;seqTexto=1&amp;PalavrasDestaque=" </w:instrText>
      </w:r>
      <w:r w:rsidRPr="007E1AF1">
        <w:rPr>
          <w:rFonts w:ascii="Times New Roman" w:eastAsia="Times New Roman" w:hAnsi="Times New Roman" w:cs="Times New Roman"/>
          <w:i/>
          <w:color w:val="FF0000"/>
          <w:sz w:val="24"/>
          <w:szCs w:val="20"/>
          <w:lang w:eastAsia="pt-BR"/>
        </w:rPr>
        <w:fldChar w:fldCharType="separate"/>
      </w:r>
      <w:r w:rsidRPr="007E1AF1">
        <w:rPr>
          <w:rFonts w:ascii="Times New Roman" w:eastAsia="Times New Roman" w:hAnsi="Times New Roman" w:cs="Times New Roman"/>
          <w:i/>
          <w:color w:val="0000FF"/>
          <w:sz w:val="24"/>
          <w:szCs w:val="20"/>
          <w:u w:val="single"/>
          <w:lang w:eastAsia="pt-BR"/>
        </w:rPr>
        <w:t>(Canceladas na Parte Especial quaisquer referências a valores de multas, substituindo-se a expressão "multa de" por "multa" de acordo com o art. 2º da Lei nº 7.209, de 11/7/1984)</w:t>
      </w:r>
    </w:p>
    <w:p w:rsidR="007E1AF1" w:rsidRPr="007E1AF1" w:rsidRDefault="007E1AF1" w:rsidP="007E1AF1">
      <w:pPr>
        <w:ind w:firstLine="1134"/>
        <w:jc w:val="left"/>
        <w:rPr>
          <w:rFonts w:ascii="Times New Roman" w:eastAsia="Times New Roman" w:hAnsi="Times New Roman" w:cs="Times New Roman"/>
          <w:sz w:val="24"/>
          <w:szCs w:val="20"/>
          <w:lang w:eastAsia="pt-BR"/>
        </w:rPr>
      </w:pPr>
      <w:r w:rsidRPr="007E1AF1">
        <w:rPr>
          <w:rFonts w:ascii="Times New Roman" w:eastAsia="Times New Roman" w:hAnsi="Times New Roman" w:cs="Times New Roman"/>
          <w:i/>
          <w:color w:val="FF0000"/>
          <w:sz w:val="24"/>
          <w:szCs w:val="20"/>
          <w:lang w:eastAsia="pt-BR"/>
        </w:rPr>
        <w:fldChar w:fldCharType="end"/>
      </w:r>
    </w:p>
    <w:p w:rsidR="007E1AF1" w:rsidRPr="007E1AF1" w:rsidRDefault="007E1AF1" w:rsidP="007E1AF1">
      <w:pPr>
        <w:jc w:val="cente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TÍTULO I</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DOS CRIMES CONTRA A PESSOA</w:t>
      </w: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Pr="007E1AF1" w:rsidRDefault="007E1AF1" w:rsidP="007E1AF1">
      <w:pPr>
        <w:jc w:val="center"/>
        <w:outlineLvl w:val="0"/>
        <w:rPr>
          <w:rFonts w:ascii="Times New Roman" w:eastAsia="Times New Roman" w:hAnsi="Times New Roman" w:cs="Times New Roman"/>
          <w:sz w:val="24"/>
          <w:szCs w:val="20"/>
          <w:lang w:eastAsia="pt-BR"/>
        </w:rPr>
      </w:pPr>
    </w:p>
    <w:p w:rsidR="007E1AF1" w:rsidRPr="007E1AF1" w:rsidRDefault="007E1AF1" w:rsidP="007E1AF1">
      <w:pPr>
        <w:jc w:val="cente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CAPÍTULO III</w:t>
      </w:r>
    </w:p>
    <w:p w:rsidR="007E1AF1" w:rsidRPr="007E1AF1" w:rsidRDefault="007E1AF1" w:rsidP="007E1AF1">
      <w:pPr>
        <w:jc w:val="center"/>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DA PERICLITAÇÃO DA VIDA E DA SAUDE</w:t>
      </w: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sz w:val="24"/>
          <w:szCs w:val="24"/>
          <w:lang w:eastAsia="pt-BR"/>
        </w:rPr>
        <w:t>.......................................................................................................................................................</w:t>
      </w:r>
    </w:p>
    <w:p w:rsidR="007E1AF1" w:rsidRPr="007E1AF1" w:rsidRDefault="007E1AF1" w:rsidP="007E1AF1">
      <w:pPr>
        <w:rPr>
          <w:rFonts w:ascii="Times New Roman" w:eastAsia="Times New Roman" w:hAnsi="Times New Roman" w:cs="Times New Roman"/>
          <w:sz w:val="24"/>
          <w:szCs w:val="20"/>
          <w:lang w:eastAsia="pt-BR"/>
        </w:rPr>
      </w:pPr>
    </w:p>
    <w:p w:rsidR="007E1AF1" w:rsidRPr="007E1AF1" w:rsidRDefault="007E1AF1" w:rsidP="007E1AF1">
      <w:pP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b/>
          <w:sz w:val="24"/>
          <w:szCs w:val="20"/>
          <w:lang w:eastAsia="pt-BR"/>
        </w:rPr>
        <w:t xml:space="preserve">Perigo para a vida ou saúde de outrem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Art. 132. Expor a vida ou a saúde de outrem a perigo direto e iminente: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detenção, de três meses a um ano, se o fato não constitui crime mais grave.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Parágrafo único. A pena é aumentada de um sexto a um terço se a exposição da vida ou da saúde de outrem a perigo decorre do transporte de pessoas para a prestação de serviços em estabelecimentos de qualquer natureza, em desacordo com as normas legais. </w:t>
      </w:r>
      <w:hyperlink r:id="rId8" w:history="1">
        <w:r w:rsidRPr="007E1AF1">
          <w:rPr>
            <w:rFonts w:ascii="Times New Roman" w:eastAsia="Times New Roman" w:hAnsi="Times New Roman" w:cs="Times New Roman"/>
            <w:i/>
            <w:color w:val="0000FF"/>
            <w:sz w:val="24"/>
            <w:szCs w:val="20"/>
            <w:u w:val="single"/>
            <w:lang w:eastAsia="pt-BR"/>
          </w:rPr>
          <w:t>(Parágrafo único acrescido pela Lei nº 9.777, de 29/12/1998)</w:t>
        </w:r>
      </w:hyperlink>
    </w:p>
    <w:p w:rsidR="007E1AF1" w:rsidRPr="007E1AF1" w:rsidRDefault="007E1AF1" w:rsidP="007E1AF1">
      <w:pPr>
        <w:rPr>
          <w:rFonts w:ascii="Times New Roman" w:eastAsia="Times New Roman" w:hAnsi="Times New Roman" w:cs="Times New Roman"/>
          <w:sz w:val="24"/>
          <w:szCs w:val="20"/>
          <w:lang w:eastAsia="pt-BR"/>
        </w:rPr>
      </w:pPr>
    </w:p>
    <w:p w:rsidR="007E1AF1" w:rsidRPr="007E1AF1" w:rsidRDefault="007E1AF1" w:rsidP="007E1AF1">
      <w:pP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b/>
          <w:sz w:val="24"/>
          <w:szCs w:val="20"/>
          <w:lang w:eastAsia="pt-BR"/>
        </w:rPr>
        <w:t xml:space="preserve">Abandono de incapaz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Art. 133. Abandonar pessoa que está sob seu cuidado, guarda, vigilância ou autoridade, e, por qualquer motivo, incapaz de defender-se dos riscos resultantes do abandono: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detenção, de seis meses a três anos.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1</w:t>
      </w:r>
      <w:r w:rsidRPr="007E1AF1">
        <w:rPr>
          <w:rFonts w:ascii="Calibri" w:eastAsia="Times New Roman" w:hAnsi="Calibri" w:cs="Calibri"/>
          <w:sz w:val="24"/>
          <w:szCs w:val="20"/>
          <w:lang w:eastAsia="pt-BR"/>
        </w:rPr>
        <w:t>º</w:t>
      </w:r>
      <w:r w:rsidRPr="007E1AF1">
        <w:rPr>
          <w:rFonts w:ascii="Times New Roman" w:eastAsia="Times New Roman" w:hAnsi="Times New Roman" w:cs="Times New Roman"/>
          <w:sz w:val="24"/>
          <w:szCs w:val="20"/>
          <w:lang w:eastAsia="pt-BR"/>
        </w:rPr>
        <w:t xml:space="preserve"> Se do abandono resulta lesão corporal de natureza grave: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reclusão, de um a cinco anos.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2</w:t>
      </w:r>
      <w:r w:rsidRPr="007E1AF1">
        <w:rPr>
          <w:rFonts w:ascii="Calibri" w:eastAsia="Times New Roman" w:hAnsi="Calibri" w:cs="Calibri"/>
          <w:sz w:val="24"/>
          <w:szCs w:val="20"/>
          <w:lang w:eastAsia="pt-BR"/>
        </w:rPr>
        <w:t>º</w:t>
      </w:r>
      <w:r w:rsidRPr="007E1AF1">
        <w:rPr>
          <w:rFonts w:ascii="Times New Roman" w:eastAsia="Times New Roman" w:hAnsi="Times New Roman" w:cs="Times New Roman"/>
          <w:sz w:val="24"/>
          <w:szCs w:val="20"/>
          <w:lang w:eastAsia="pt-BR"/>
        </w:rPr>
        <w:t xml:space="preserve"> Se resulta a morte: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Pena - reclusão, de quatro a doze anos. </w:t>
      </w:r>
    </w:p>
    <w:p w:rsidR="007E1AF1" w:rsidRPr="007E1AF1" w:rsidRDefault="007E1AF1" w:rsidP="007E1AF1">
      <w:pPr>
        <w:ind w:firstLine="1134"/>
        <w:rPr>
          <w:rFonts w:ascii="Times New Roman" w:eastAsia="Times New Roman" w:hAnsi="Times New Roman" w:cs="Times New Roman"/>
          <w:sz w:val="24"/>
          <w:szCs w:val="20"/>
          <w:lang w:eastAsia="pt-BR"/>
        </w:rPr>
      </w:pPr>
    </w:p>
    <w:p w:rsidR="007E1AF1" w:rsidRPr="007E1AF1" w:rsidRDefault="007E1AF1" w:rsidP="007E1AF1">
      <w:pPr>
        <w:outlineLvl w:val="0"/>
        <w:rPr>
          <w:rFonts w:ascii="Times New Roman" w:eastAsia="Times New Roman" w:hAnsi="Times New Roman" w:cs="Times New Roman"/>
          <w:sz w:val="24"/>
          <w:szCs w:val="20"/>
          <w:lang w:eastAsia="pt-BR"/>
        </w:rPr>
      </w:pPr>
      <w:r w:rsidRPr="007E1AF1">
        <w:rPr>
          <w:rFonts w:ascii="Times New Roman" w:eastAsia="Times New Roman" w:hAnsi="Times New Roman" w:cs="Times New Roman"/>
          <w:b/>
          <w:sz w:val="24"/>
          <w:szCs w:val="20"/>
          <w:lang w:eastAsia="pt-BR"/>
        </w:rPr>
        <w:t xml:space="preserve">Aumento de pena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3</w:t>
      </w:r>
      <w:r w:rsidRPr="007E1AF1">
        <w:rPr>
          <w:rFonts w:ascii="Calibri" w:eastAsia="Times New Roman" w:hAnsi="Calibri" w:cs="Calibri"/>
          <w:sz w:val="24"/>
          <w:szCs w:val="20"/>
          <w:lang w:eastAsia="pt-BR"/>
        </w:rPr>
        <w:t>º</w:t>
      </w:r>
      <w:r w:rsidRPr="007E1AF1">
        <w:rPr>
          <w:rFonts w:ascii="Times New Roman" w:eastAsia="Times New Roman" w:hAnsi="Times New Roman" w:cs="Times New Roman"/>
          <w:sz w:val="24"/>
          <w:szCs w:val="20"/>
          <w:lang w:eastAsia="pt-BR"/>
        </w:rPr>
        <w:t xml:space="preserve"> As penas cominadas neste artigo aumentam-se de um terço: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I - se o abandono ocorre em lugar ermo; </w:t>
      </w:r>
    </w:p>
    <w:p w:rsidR="007E1AF1" w:rsidRPr="007E1AF1" w:rsidRDefault="007E1AF1" w:rsidP="007E1AF1">
      <w:pPr>
        <w:ind w:firstLine="1134"/>
        <w:rPr>
          <w:rFonts w:ascii="Times New Roman" w:eastAsia="Times New Roman" w:hAnsi="Times New Roman" w:cs="Times New Roman"/>
          <w:sz w:val="24"/>
          <w:szCs w:val="20"/>
          <w:lang w:eastAsia="pt-BR"/>
        </w:rPr>
      </w:pPr>
      <w:r w:rsidRPr="007E1AF1">
        <w:rPr>
          <w:rFonts w:ascii="Times New Roman" w:eastAsia="Times New Roman" w:hAnsi="Times New Roman" w:cs="Times New Roman"/>
          <w:sz w:val="24"/>
          <w:szCs w:val="20"/>
          <w:lang w:eastAsia="pt-BR"/>
        </w:rPr>
        <w:t xml:space="preserve">II - se o agente é ascendente ou descendente, cônjuge, irmão, tutor ou curador da vítima. </w:t>
      </w:r>
    </w:p>
    <w:p w:rsidR="007E1AF1" w:rsidRPr="007E1AF1" w:rsidRDefault="007E1AF1" w:rsidP="007E1AF1">
      <w:pPr>
        <w:ind w:firstLine="1134"/>
        <w:rPr>
          <w:rFonts w:ascii="Times New Roman" w:eastAsia="Times New Roman" w:hAnsi="Times New Roman" w:cs="Times New Roman"/>
          <w:i/>
          <w:color w:val="0000FF"/>
          <w:sz w:val="24"/>
          <w:szCs w:val="20"/>
          <w:u w:val="single"/>
          <w:lang w:eastAsia="pt-BR"/>
        </w:rPr>
      </w:pPr>
      <w:r w:rsidRPr="007E1AF1">
        <w:rPr>
          <w:rFonts w:ascii="Times New Roman" w:eastAsia="Times New Roman" w:hAnsi="Times New Roman" w:cs="Times New Roman"/>
          <w:sz w:val="24"/>
          <w:szCs w:val="20"/>
          <w:lang w:eastAsia="pt-BR"/>
        </w:rPr>
        <w:t xml:space="preserve">III - se a vítima é maior de 60 (sessenta) anos. </w:t>
      </w:r>
      <w:r w:rsidRPr="007E1AF1">
        <w:rPr>
          <w:rFonts w:ascii="Times New Roman" w:eastAsia="Times New Roman" w:hAnsi="Times New Roman" w:cs="Times New Roman"/>
          <w:i/>
          <w:sz w:val="24"/>
          <w:szCs w:val="20"/>
          <w:lang w:eastAsia="pt-BR"/>
        </w:rPr>
        <w:fldChar w:fldCharType="begin"/>
      </w:r>
      <w:r w:rsidRPr="007E1AF1">
        <w:rPr>
          <w:rFonts w:ascii="Times New Roman" w:eastAsia="Times New Roman" w:hAnsi="Times New Roman" w:cs="Times New Roman"/>
          <w:i/>
          <w:sz w:val="24"/>
          <w:szCs w:val="20"/>
          <w:lang w:eastAsia="pt-BR"/>
        </w:rPr>
        <w:instrText xml:space="preserve"> HYPERLINK "http://www2.camara.gov.br/internet/legislacao/legin.html/textos/visualizarTexto.html?ideNorma=497511&amp;seqTexto=1&amp;PalavrasDestaque=" </w:instrText>
      </w:r>
      <w:r w:rsidRPr="007E1AF1">
        <w:rPr>
          <w:rFonts w:ascii="Times New Roman" w:eastAsia="Times New Roman" w:hAnsi="Times New Roman" w:cs="Times New Roman"/>
          <w:i/>
          <w:sz w:val="24"/>
          <w:szCs w:val="20"/>
          <w:lang w:eastAsia="pt-BR"/>
        </w:rPr>
        <w:fldChar w:fldCharType="separate"/>
      </w:r>
      <w:r w:rsidRPr="007E1AF1">
        <w:rPr>
          <w:rFonts w:ascii="Times New Roman" w:eastAsia="Times New Roman" w:hAnsi="Times New Roman" w:cs="Times New Roman"/>
          <w:i/>
          <w:color w:val="0000FF"/>
          <w:sz w:val="24"/>
          <w:szCs w:val="20"/>
          <w:u w:val="single"/>
          <w:lang w:eastAsia="pt-BR"/>
        </w:rPr>
        <w:t>(Inciso acrescido pela Lei nº 10.741, de 1/10/2003)</w:t>
      </w:r>
    </w:p>
    <w:p w:rsidR="007E1AF1" w:rsidRPr="007E1AF1" w:rsidRDefault="007E1AF1" w:rsidP="007E1AF1">
      <w:pPr>
        <w:rPr>
          <w:rFonts w:ascii="Times New Roman" w:eastAsia="Times New Roman" w:hAnsi="Times New Roman" w:cs="Times New Roman"/>
          <w:sz w:val="24"/>
          <w:szCs w:val="24"/>
          <w:lang w:eastAsia="pt-BR"/>
        </w:rPr>
      </w:pPr>
      <w:r w:rsidRPr="007E1AF1">
        <w:rPr>
          <w:rFonts w:ascii="Times New Roman" w:eastAsia="Times New Roman" w:hAnsi="Times New Roman" w:cs="Times New Roman"/>
          <w:i/>
          <w:szCs w:val="20"/>
          <w:lang w:eastAsia="pt-BR"/>
        </w:rPr>
        <w:fldChar w:fldCharType="end"/>
      </w:r>
      <w:r w:rsidRPr="007E1AF1">
        <w:rPr>
          <w:rFonts w:ascii="Times New Roman" w:eastAsia="Times New Roman" w:hAnsi="Times New Roman" w:cs="Times New Roman"/>
          <w:sz w:val="24"/>
          <w:szCs w:val="24"/>
          <w:lang w:eastAsia="pt-BR"/>
        </w:rPr>
        <w:t>..............................................................................................................................................................................................................................................................................................................</w:t>
      </w:r>
    </w:p>
    <w:p w:rsidR="007E1AF1" w:rsidRDefault="007E1AF1" w:rsidP="007E1AF1">
      <w:pPr>
        <w:jc w:val="center"/>
        <w:rPr>
          <w:b/>
          <w:sz w:val="24"/>
        </w:rPr>
      </w:pPr>
      <w:bookmarkStart w:id="12" w:name="z947825_FIMDOCUMENTO"/>
      <w:bookmarkEnd w:id="1"/>
      <w:bookmarkEnd w:id="11"/>
    </w:p>
    <w:p w:rsidR="007E1AF1" w:rsidRPr="007E1AF1" w:rsidRDefault="007E1AF1" w:rsidP="007E1AF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7E1AF1" w:rsidRPr="007E1AF1" w:rsidSect="007E1AF1">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470" w:rsidRDefault="00363470" w:rsidP="007E1AF1">
      <w:r>
        <w:separator/>
      </w:r>
    </w:p>
  </w:endnote>
  <w:endnote w:type="continuationSeparator" w:id="0">
    <w:p w:rsidR="00363470" w:rsidRDefault="00363470" w:rsidP="007E1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F1" w:rsidRDefault="007E1AF1" w:rsidP="007E1A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E1AF1" w:rsidRDefault="007E1AF1" w:rsidP="007E1AF1">
    <w:pPr>
      <w:pStyle w:val="Rodap"/>
      <w:jc w:val="center"/>
      <w:rPr>
        <w:rFonts w:ascii="Courier New" w:hAnsi="Courier New" w:cs="Courier New"/>
      </w:rPr>
    </w:pPr>
    <w:r>
      <w:rPr>
        <w:rFonts w:ascii="Courier New" w:hAnsi="Courier New" w:cs="Courier New"/>
      </w:rPr>
      <w:t>CONFERE COM O ORIGINAL AUTENTICADO</w:t>
    </w:r>
  </w:p>
  <w:p w:rsidR="007E1AF1" w:rsidRPr="007E1AF1" w:rsidRDefault="007E1AF1" w:rsidP="007E1AF1">
    <w:pPr>
      <w:pStyle w:val="Rodap"/>
      <w:jc w:val="center"/>
    </w:pPr>
    <w:r>
      <w:t>PL 434/2015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F1" w:rsidRDefault="007E1AF1" w:rsidP="007E1A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E1AF1" w:rsidRDefault="007E1AF1" w:rsidP="007E1AF1">
    <w:pPr>
      <w:pStyle w:val="Rodap"/>
      <w:jc w:val="center"/>
      <w:rPr>
        <w:rFonts w:ascii="Courier New" w:hAnsi="Courier New" w:cs="Courier New"/>
      </w:rPr>
    </w:pPr>
    <w:r>
      <w:rPr>
        <w:rFonts w:ascii="Courier New" w:hAnsi="Courier New" w:cs="Courier New"/>
      </w:rPr>
      <w:t>CONFERE COM O ORIGINAL AUTENTICADO</w:t>
    </w:r>
  </w:p>
  <w:p w:rsidR="007E1AF1" w:rsidRPr="007E1AF1" w:rsidRDefault="007E1AF1" w:rsidP="007E1AF1">
    <w:pPr>
      <w:pStyle w:val="Rodap"/>
      <w:jc w:val="center"/>
    </w:pPr>
    <w:r>
      <w:t>PL 434/2015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F1" w:rsidRDefault="007E1AF1" w:rsidP="007E1AF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7E1AF1" w:rsidRPr="007E1AF1" w:rsidRDefault="007E1AF1" w:rsidP="007E1AF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470" w:rsidRDefault="00363470" w:rsidP="007E1AF1">
      <w:r>
        <w:separator/>
      </w:r>
    </w:p>
  </w:footnote>
  <w:footnote w:type="continuationSeparator" w:id="0">
    <w:p w:rsidR="00363470" w:rsidRDefault="00363470" w:rsidP="007E1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F1" w:rsidRPr="007E1AF1" w:rsidRDefault="007E1AF1" w:rsidP="007E1AF1">
    <w:pPr>
      <w:pStyle w:val="Cabealho"/>
      <w:jc w:val="left"/>
    </w:pPr>
    <w:r>
      <w:fldChar w:fldCharType="begin"/>
    </w:r>
    <w:r>
      <w:instrText xml:space="preserve"> PAGE  \* Arabic  \* MERGEFORMAT </w:instrText>
    </w:r>
    <w:r>
      <w:fldChar w:fldCharType="separate"/>
    </w:r>
    <w:r w:rsidR="007B073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AF1" w:rsidRPr="007E1AF1" w:rsidRDefault="007E1AF1" w:rsidP="007E1AF1">
    <w:pPr>
      <w:pStyle w:val="Cabealho"/>
      <w:jc w:val="right"/>
    </w:pPr>
    <w:r>
      <w:fldChar w:fldCharType="begin"/>
    </w:r>
    <w:r>
      <w:instrText xml:space="preserve"> PAGE  \* Arabic  \* MERGEFORMAT </w:instrText>
    </w:r>
    <w:r>
      <w:fldChar w:fldCharType="separate"/>
    </w:r>
    <w:r w:rsidR="007B073A">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AF1"/>
    <w:rsid w:val="00040A26"/>
    <w:rsid w:val="00363470"/>
    <w:rsid w:val="004E405D"/>
    <w:rsid w:val="007B073A"/>
    <w:rsid w:val="007E1AF1"/>
    <w:rsid w:val="00A42F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E1AF1"/>
    <w:rPr>
      <w:rFonts w:ascii="Tahoma" w:hAnsi="Tahoma" w:cs="Tahoma"/>
      <w:sz w:val="16"/>
      <w:szCs w:val="16"/>
    </w:rPr>
  </w:style>
  <w:style w:type="character" w:customStyle="1" w:styleId="TextodebaloChar">
    <w:name w:val="Texto de balão Char"/>
    <w:basedOn w:val="Fontepargpadro"/>
    <w:link w:val="Textodebalo"/>
    <w:uiPriority w:val="99"/>
    <w:semiHidden/>
    <w:rsid w:val="007E1AF1"/>
    <w:rPr>
      <w:rFonts w:ascii="Tahoma" w:hAnsi="Tahoma" w:cs="Tahoma"/>
      <w:sz w:val="16"/>
      <w:szCs w:val="16"/>
    </w:rPr>
  </w:style>
  <w:style w:type="paragraph" w:styleId="Cabealho">
    <w:name w:val="header"/>
    <w:basedOn w:val="Normal"/>
    <w:link w:val="CabealhoChar"/>
    <w:uiPriority w:val="99"/>
    <w:unhideWhenUsed/>
    <w:rsid w:val="007E1AF1"/>
    <w:pPr>
      <w:tabs>
        <w:tab w:val="center" w:pos="4252"/>
        <w:tab w:val="right" w:pos="8504"/>
      </w:tabs>
    </w:pPr>
  </w:style>
  <w:style w:type="character" w:customStyle="1" w:styleId="CabealhoChar">
    <w:name w:val="Cabeçalho Char"/>
    <w:basedOn w:val="Fontepargpadro"/>
    <w:link w:val="Cabealho"/>
    <w:uiPriority w:val="99"/>
    <w:rsid w:val="007E1AF1"/>
    <w:rPr>
      <w:rFonts w:ascii="Arial" w:hAnsi="Arial" w:cs="Arial"/>
      <w:sz w:val="20"/>
    </w:rPr>
  </w:style>
  <w:style w:type="paragraph" w:styleId="Rodap">
    <w:name w:val="footer"/>
    <w:basedOn w:val="Normal"/>
    <w:link w:val="RodapChar"/>
    <w:uiPriority w:val="99"/>
    <w:unhideWhenUsed/>
    <w:rsid w:val="007E1AF1"/>
    <w:pPr>
      <w:tabs>
        <w:tab w:val="center" w:pos="4252"/>
        <w:tab w:val="right" w:pos="8504"/>
      </w:tabs>
    </w:pPr>
  </w:style>
  <w:style w:type="character" w:customStyle="1" w:styleId="RodapChar">
    <w:name w:val="Rodapé Char"/>
    <w:basedOn w:val="Fontepargpadro"/>
    <w:link w:val="Rodap"/>
    <w:uiPriority w:val="99"/>
    <w:rsid w:val="007E1AF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E1AF1"/>
    <w:rPr>
      <w:rFonts w:ascii="Tahoma" w:hAnsi="Tahoma" w:cs="Tahoma"/>
      <w:sz w:val="16"/>
      <w:szCs w:val="16"/>
    </w:rPr>
  </w:style>
  <w:style w:type="character" w:customStyle="1" w:styleId="TextodebaloChar">
    <w:name w:val="Texto de balão Char"/>
    <w:basedOn w:val="Fontepargpadro"/>
    <w:link w:val="Textodebalo"/>
    <w:uiPriority w:val="99"/>
    <w:semiHidden/>
    <w:rsid w:val="007E1AF1"/>
    <w:rPr>
      <w:rFonts w:ascii="Tahoma" w:hAnsi="Tahoma" w:cs="Tahoma"/>
      <w:sz w:val="16"/>
      <w:szCs w:val="16"/>
    </w:rPr>
  </w:style>
  <w:style w:type="paragraph" w:styleId="Cabealho">
    <w:name w:val="header"/>
    <w:basedOn w:val="Normal"/>
    <w:link w:val="CabealhoChar"/>
    <w:uiPriority w:val="99"/>
    <w:unhideWhenUsed/>
    <w:rsid w:val="007E1AF1"/>
    <w:pPr>
      <w:tabs>
        <w:tab w:val="center" w:pos="4252"/>
        <w:tab w:val="right" w:pos="8504"/>
      </w:tabs>
    </w:pPr>
  </w:style>
  <w:style w:type="character" w:customStyle="1" w:styleId="CabealhoChar">
    <w:name w:val="Cabeçalho Char"/>
    <w:basedOn w:val="Fontepargpadro"/>
    <w:link w:val="Cabealho"/>
    <w:uiPriority w:val="99"/>
    <w:rsid w:val="007E1AF1"/>
    <w:rPr>
      <w:rFonts w:ascii="Arial" w:hAnsi="Arial" w:cs="Arial"/>
      <w:sz w:val="20"/>
    </w:rPr>
  </w:style>
  <w:style w:type="paragraph" w:styleId="Rodap">
    <w:name w:val="footer"/>
    <w:basedOn w:val="Normal"/>
    <w:link w:val="RodapChar"/>
    <w:uiPriority w:val="99"/>
    <w:unhideWhenUsed/>
    <w:rsid w:val="007E1AF1"/>
    <w:pPr>
      <w:tabs>
        <w:tab w:val="center" w:pos="4252"/>
        <w:tab w:val="right" w:pos="8504"/>
      </w:tabs>
    </w:pPr>
  </w:style>
  <w:style w:type="character" w:customStyle="1" w:styleId="RodapChar">
    <w:name w:val="Rodapé Char"/>
    <w:basedOn w:val="Fontepargpadro"/>
    <w:link w:val="Rodap"/>
    <w:uiPriority w:val="99"/>
    <w:rsid w:val="007E1AF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70245&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1752</Words>
  <Characters>10812</Characters>
  <Application>Microsoft Office Word</Application>
  <DocSecurity>0</DocSecurity>
  <Lines>263</Lines>
  <Paragraphs>125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2015-03-05T14:07:00Z</cp:lastPrinted>
  <dcterms:created xsi:type="dcterms:W3CDTF">2015-03-06T16:50:00Z</dcterms:created>
  <dcterms:modified xsi:type="dcterms:W3CDTF">2015-03-06T20:20:00Z</dcterms:modified>
</cp:coreProperties>
</file>