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B22" w:rsidRDefault="00CC4E84" w:rsidP="00DF4916">
      <w:pPr>
        <w:jc w:val="center"/>
      </w:pPr>
      <w:bookmarkStart w:id="0" w:name="z947737_BRASAO"/>
      <w:bookmarkStart w:id="1" w:name="z947737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C4E84" w:rsidRPr="00CC4E84" w:rsidRDefault="00CC4E84">
                            <w:pPr>
                              <w:rPr>
                                <w:rFonts w:ascii="Times New Roman" w:hAnsi="Times New Roman" w:cs="Times New Roman"/>
                                <w:sz w:val="34"/>
                              </w:rPr>
                            </w:pPr>
                            <w:r w:rsidRPr="00CC4E84">
                              <w:rPr>
                                <w:rFonts w:ascii="3 of 9 Barcode" w:hAnsi="3 of 9 Barcode"/>
                                <w:sz w:val="34"/>
                              </w:rPr>
                              <w:t>*C0051465A*</w:t>
                            </w:r>
                            <w:bookmarkStart w:id="2" w:name="_GoBack"/>
                          </w:p>
                          <w:bookmarkEnd w:id="2"/>
                          <w:p w:rsidR="00CC4E84" w:rsidRPr="00CC4E84" w:rsidRDefault="00CC4E84">
                            <w:pPr>
                              <w:rPr>
                                <w:rFonts w:ascii="Times New Roman" w:hAnsi="Times New Roman" w:cs="Times New Roman"/>
                              </w:rPr>
                            </w:pPr>
                            <w:r>
                              <w:rPr>
                                <w:rFonts w:ascii="Times New Roman" w:hAnsi="Times New Roman" w:cs="Times New Roman"/>
                              </w:rPr>
                              <w:t>C0051465A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C4E84" w:rsidRPr="00CC4E84" w:rsidRDefault="00CC4E84">
                      <w:pPr>
                        <w:rPr>
                          <w:rFonts w:ascii="Times New Roman" w:hAnsi="Times New Roman" w:cs="Times New Roman"/>
                          <w:sz w:val="34"/>
                        </w:rPr>
                      </w:pPr>
                      <w:r w:rsidRPr="00CC4E84">
                        <w:rPr>
                          <w:rFonts w:ascii="3 of 9 Barcode" w:hAnsi="3 of 9 Barcode"/>
                          <w:sz w:val="34"/>
                        </w:rPr>
                        <w:t>*C0051465A*</w:t>
                      </w:r>
                      <w:bookmarkStart w:id="3" w:name="_GoBack"/>
                    </w:p>
                    <w:bookmarkEnd w:id="3"/>
                    <w:p w:rsidR="00CC4E84" w:rsidRPr="00CC4E84" w:rsidRDefault="00CC4E84">
                      <w:pPr>
                        <w:rPr>
                          <w:rFonts w:ascii="Times New Roman" w:hAnsi="Times New Roman" w:cs="Times New Roman"/>
                        </w:rPr>
                      </w:pPr>
                      <w:r>
                        <w:rPr>
                          <w:rFonts w:ascii="Times New Roman" w:hAnsi="Times New Roman" w:cs="Times New Roman"/>
                        </w:rPr>
                        <w:t>C0051465A</w:t>
                      </w:r>
                    </w:p>
                  </w:txbxContent>
                </v:textbox>
                <w10:wrap anchorx="page" anchory="page"/>
              </v:shape>
            </w:pict>
          </mc:Fallback>
        </mc:AlternateContent>
      </w:r>
      <w:r w:rsidR="00DF4916">
        <w:rPr>
          <w:noProof/>
          <w:lang w:eastAsia="pt-BR"/>
        </w:rPr>
        <w:drawing>
          <wp:inline distT="0" distB="0" distL="0" distR="0" wp14:anchorId="6BFBB1AE" wp14:editId="31DC43CB">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DF4916" w:rsidRDefault="00DF4916" w:rsidP="00DF4916">
      <w:pPr>
        <w:jc w:val="center"/>
        <w:rPr>
          <w:b/>
          <w:sz w:val="24"/>
        </w:rPr>
      </w:pPr>
      <w:r>
        <w:rPr>
          <w:b/>
          <w:sz w:val="24"/>
        </w:rPr>
        <w:t>CÂMARA DOS DEPUTADOS</w:t>
      </w:r>
    </w:p>
    <w:bookmarkEnd w:id="0"/>
    <w:p w:rsidR="00DF4916" w:rsidRDefault="00DF4916" w:rsidP="00DF4916">
      <w:pPr>
        <w:rPr>
          <w:sz w:val="24"/>
        </w:rPr>
      </w:pPr>
    </w:p>
    <w:p w:rsidR="00DF4916" w:rsidRDefault="00DF4916" w:rsidP="00DF4916">
      <w:pPr>
        <w:keepNext/>
        <w:keepLines/>
        <w:jc w:val="center"/>
        <w:rPr>
          <w:b/>
          <w:sz w:val="44"/>
        </w:rPr>
      </w:pPr>
      <w:bookmarkStart w:id="4" w:name="z947737_TITULO"/>
      <w:r>
        <w:rPr>
          <w:b/>
          <w:sz w:val="44"/>
        </w:rPr>
        <w:t>PROJETO DE LEI N.º 408, DE 2015</w:t>
      </w:r>
      <w:bookmarkEnd w:id="4"/>
    </w:p>
    <w:p w:rsidR="00DF4916" w:rsidRDefault="00DF4916" w:rsidP="00DF4916">
      <w:pPr>
        <w:keepLines/>
        <w:jc w:val="center"/>
        <w:rPr>
          <w:b/>
          <w:sz w:val="28"/>
        </w:rPr>
      </w:pPr>
      <w:bookmarkStart w:id="5" w:name="z947737_AUTOR"/>
      <w:r>
        <w:rPr>
          <w:b/>
          <w:sz w:val="28"/>
        </w:rPr>
        <w:t>(Do Sr. Bebeto)</w:t>
      </w:r>
      <w:bookmarkEnd w:id="5"/>
    </w:p>
    <w:p w:rsidR="00DF4916" w:rsidRDefault="00DF4916" w:rsidP="00DF4916">
      <w:pPr>
        <w:keepLines/>
        <w:jc w:val="center"/>
        <w:rPr>
          <w:b/>
          <w:sz w:val="28"/>
        </w:rPr>
      </w:pPr>
    </w:p>
    <w:p w:rsidR="00DF4916" w:rsidRDefault="00DF4916" w:rsidP="00DF4916">
      <w:pPr>
        <w:rPr>
          <w:sz w:val="28"/>
        </w:rPr>
      </w:pPr>
      <w:bookmarkStart w:id="6" w:name="z947737_EMENTA"/>
      <w:r>
        <w:rPr>
          <w:sz w:val="28"/>
        </w:rPr>
        <w:t xml:space="preserve">Veda a concessão de empréstimo ou financiamento em instituições financeiras da administração pública federal às pessoas físicas ou jurídicas que submeterem trabalhadores a condições análogas à de escravo. </w:t>
      </w:r>
      <w:bookmarkEnd w:id="6"/>
    </w:p>
    <w:p w:rsidR="00DF4916" w:rsidRDefault="00DF4916" w:rsidP="00DF4916">
      <w:pPr>
        <w:rPr>
          <w:sz w:val="28"/>
        </w:rPr>
      </w:pPr>
    </w:p>
    <w:p w:rsidR="00DF4916" w:rsidRDefault="00DF4916" w:rsidP="00DF4916">
      <w:pPr>
        <w:pBdr>
          <w:top w:val="single" w:sz="4" w:space="1" w:color="auto"/>
          <w:left w:val="single" w:sz="4" w:space="4" w:color="auto"/>
          <w:bottom w:val="single" w:sz="4" w:space="1" w:color="auto"/>
          <w:right w:val="single" w:sz="4" w:space="4" w:color="auto"/>
        </w:pBdr>
        <w:rPr>
          <w:b/>
          <w:sz w:val="28"/>
        </w:rPr>
      </w:pPr>
      <w:bookmarkStart w:id="7" w:name="z947737_DESPACHO"/>
    </w:p>
    <w:p w:rsidR="00DF4916" w:rsidRDefault="00DF4916" w:rsidP="00DF4916">
      <w:pPr>
        <w:pBdr>
          <w:top w:val="single" w:sz="4" w:space="1" w:color="auto"/>
          <w:left w:val="single" w:sz="4" w:space="4" w:color="auto"/>
          <w:bottom w:val="single" w:sz="4" w:space="1" w:color="auto"/>
          <w:right w:val="single" w:sz="4" w:space="4" w:color="auto"/>
        </w:pBdr>
        <w:rPr>
          <w:b/>
          <w:sz w:val="28"/>
        </w:rPr>
      </w:pPr>
      <w:r>
        <w:rPr>
          <w:b/>
          <w:sz w:val="28"/>
        </w:rPr>
        <w:t>DESPACHO:</w:t>
      </w:r>
    </w:p>
    <w:p w:rsidR="00DF4916" w:rsidRDefault="00DF4916" w:rsidP="00DF4916">
      <w:pPr>
        <w:pBdr>
          <w:top w:val="single" w:sz="4" w:space="1" w:color="auto"/>
          <w:left w:val="single" w:sz="4" w:space="4" w:color="auto"/>
          <w:bottom w:val="single" w:sz="4" w:space="1" w:color="auto"/>
          <w:right w:val="single" w:sz="4" w:space="4" w:color="auto"/>
        </w:pBdr>
        <w:rPr>
          <w:sz w:val="28"/>
        </w:rPr>
      </w:pPr>
      <w:r>
        <w:rPr>
          <w:sz w:val="28"/>
        </w:rPr>
        <w:t xml:space="preserve">APENSE-SE À(AO) PL-3500/2004. </w:t>
      </w:r>
    </w:p>
    <w:p w:rsidR="00DF4916" w:rsidRDefault="00DF4916" w:rsidP="00DF4916">
      <w:pPr>
        <w:pBdr>
          <w:top w:val="single" w:sz="4" w:space="1" w:color="auto"/>
          <w:left w:val="single" w:sz="4" w:space="4" w:color="auto"/>
          <w:bottom w:val="single" w:sz="4" w:space="1" w:color="auto"/>
          <w:right w:val="single" w:sz="4" w:space="4" w:color="auto"/>
        </w:pBdr>
        <w:rPr>
          <w:sz w:val="28"/>
        </w:rPr>
      </w:pPr>
    </w:p>
    <w:p w:rsidR="00DF4916" w:rsidRDefault="00DF4916" w:rsidP="00DF4916">
      <w:pPr>
        <w:pBdr>
          <w:top w:val="single" w:sz="4" w:space="1" w:color="auto"/>
          <w:left w:val="single" w:sz="4" w:space="4" w:color="auto"/>
          <w:bottom w:val="single" w:sz="4" w:space="1" w:color="auto"/>
          <w:right w:val="single" w:sz="4" w:space="4" w:color="auto"/>
        </w:pBdr>
        <w:rPr>
          <w:b/>
          <w:sz w:val="28"/>
        </w:rPr>
      </w:pPr>
      <w:bookmarkStart w:id="8" w:name="z947737_APRECIACAO"/>
      <w:bookmarkEnd w:id="7"/>
      <w:r>
        <w:rPr>
          <w:b/>
          <w:sz w:val="28"/>
        </w:rPr>
        <w:t>APRECIAÇÃO:</w:t>
      </w:r>
    </w:p>
    <w:p w:rsidR="00DF4916" w:rsidRDefault="00DF4916" w:rsidP="00DF4916">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DF4916" w:rsidRDefault="00DF4916" w:rsidP="00DF4916">
      <w:pPr>
        <w:pBdr>
          <w:top w:val="single" w:sz="4" w:space="1" w:color="auto"/>
          <w:left w:val="single" w:sz="4" w:space="4" w:color="auto"/>
          <w:bottom w:val="single" w:sz="4" w:space="1" w:color="auto"/>
          <w:right w:val="single" w:sz="4" w:space="4" w:color="auto"/>
        </w:pBdr>
        <w:rPr>
          <w:sz w:val="28"/>
        </w:rPr>
      </w:pPr>
    </w:p>
    <w:bookmarkEnd w:id="8"/>
    <w:p w:rsidR="00DF4916" w:rsidRDefault="00DF4916" w:rsidP="00DF4916">
      <w:pPr>
        <w:rPr>
          <w:sz w:val="28"/>
        </w:rPr>
      </w:pPr>
    </w:p>
    <w:p w:rsidR="00DF4916" w:rsidRDefault="00DF4916" w:rsidP="00DF4916">
      <w:pPr>
        <w:jc w:val="center"/>
        <w:rPr>
          <w:b/>
          <w:sz w:val="28"/>
        </w:rPr>
      </w:pPr>
      <w:bookmarkStart w:id="9" w:name="z947737_PUBINICIAL"/>
      <w:r>
        <w:rPr>
          <w:b/>
          <w:sz w:val="28"/>
        </w:rPr>
        <w:t>PUBLICAÇÃO INICIAL</w:t>
      </w:r>
    </w:p>
    <w:p w:rsidR="00DF4916" w:rsidRDefault="00DF4916" w:rsidP="00DF4916">
      <w:pPr>
        <w:jc w:val="center"/>
        <w:rPr>
          <w:b/>
        </w:rPr>
      </w:pPr>
      <w:r>
        <w:rPr>
          <w:b/>
        </w:rPr>
        <w:t>Art. 137, caput - RICD</w:t>
      </w:r>
    </w:p>
    <w:p w:rsidR="00DF4916" w:rsidRDefault="00DF4916">
      <w:pPr>
        <w:spacing w:after="200" w:line="276" w:lineRule="auto"/>
        <w:jc w:val="left"/>
        <w:rPr>
          <w:b/>
        </w:rPr>
      </w:pPr>
      <w:r>
        <w:rPr>
          <w:b/>
        </w:rPr>
        <w:br w:type="page"/>
      </w:r>
    </w:p>
    <w:bookmarkEnd w:id="9"/>
    <w:p w:rsidR="00DF4916" w:rsidRDefault="00DF4916" w:rsidP="00DF4916">
      <w:pPr>
        <w:rPr>
          <w:b/>
        </w:rPr>
      </w:pPr>
    </w:p>
    <w:p w:rsidR="00DF4916" w:rsidRPr="00DF4916" w:rsidRDefault="00DF4916" w:rsidP="00DF4916">
      <w:pPr>
        <w:autoSpaceDE w:val="0"/>
        <w:autoSpaceDN w:val="0"/>
        <w:adjustRightInd w:val="0"/>
        <w:rPr>
          <w:rFonts w:eastAsia="Times New Roman"/>
          <w:snapToGrid w:val="0"/>
          <w:color w:val="000000"/>
          <w:sz w:val="24"/>
          <w:szCs w:val="24"/>
          <w:lang w:eastAsia="pt-BR"/>
        </w:rPr>
      </w:pPr>
      <w:bookmarkStart w:id="10" w:name="z947737_1302793_TEOR"/>
      <w:r w:rsidRPr="00DF4916">
        <w:rPr>
          <w:rFonts w:eastAsia="Times New Roman"/>
          <w:snapToGrid w:val="0"/>
          <w:color w:val="000000"/>
          <w:sz w:val="24"/>
          <w:szCs w:val="24"/>
          <w:lang w:eastAsia="pt-BR"/>
        </w:rPr>
        <w:t xml:space="preserve"> </w:t>
      </w:r>
      <w:r w:rsidRPr="00DF4916">
        <w:rPr>
          <w:rFonts w:eastAsia="Times New Roman"/>
          <w:snapToGrid w:val="0"/>
          <w:color w:val="000000"/>
          <w:sz w:val="24"/>
          <w:szCs w:val="24"/>
          <w:lang w:eastAsia="pt-BR"/>
        </w:rPr>
        <w:tab/>
      </w:r>
      <w:r w:rsidRPr="00DF4916">
        <w:rPr>
          <w:rFonts w:eastAsia="Times New Roman"/>
          <w:snapToGrid w:val="0"/>
          <w:color w:val="000000"/>
          <w:sz w:val="24"/>
          <w:szCs w:val="24"/>
          <w:lang w:eastAsia="pt-BR"/>
        </w:rPr>
        <w:tab/>
      </w:r>
      <w:r w:rsidRPr="00DF4916">
        <w:rPr>
          <w:rFonts w:eastAsia="Times New Roman"/>
          <w:snapToGrid w:val="0"/>
          <w:color w:val="000000"/>
          <w:sz w:val="24"/>
          <w:szCs w:val="24"/>
          <w:lang w:eastAsia="pt-BR"/>
        </w:rPr>
        <w:tab/>
        <w:t xml:space="preserve">Art. 1º Esta Lei veda o financiamento público na exploração de atividades que submetam o trabalhador a condições análogas a de escravo. </w:t>
      </w:r>
    </w:p>
    <w:p w:rsidR="00DF4916" w:rsidRPr="00DF4916" w:rsidRDefault="00DF4916" w:rsidP="00DF4916">
      <w:pPr>
        <w:autoSpaceDE w:val="0"/>
        <w:autoSpaceDN w:val="0"/>
        <w:adjustRightInd w:val="0"/>
        <w:rPr>
          <w:rFonts w:eastAsia="Times New Roman"/>
          <w:snapToGrid w:val="0"/>
          <w:color w:val="000000"/>
          <w:sz w:val="24"/>
          <w:szCs w:val="24"/>
          <w:lang w:eastAsia="pt-BR"/>
        </w:rPr>
      </w:pPr>
    </w:p>
    <w:p w:rsidR="00DF4916" w:rsidRPr="00DF4916" w:rsidRDefault="00DF4916" w:rsidP="00DF4916">
      <w:pPr>
        <w:autoSpaceDE w:val="0"/>
        <w:autoSpaceDN w:val="0"/>
        <w:adjustRightInd w:val="0"/>
        <w:rPr>
          <w:rFonts w:eastAsia="Times New Roman"/>
          <w:snapToGrid w:val="0"/>
          <w:color w:val="000000"/>
          <w:sz w:val="24"/>
          <w:szCs w:val="24"/>
          <w:lang w:eastAsia="pt-BR"/>
        </w:rPr>
      </w:pPr>
      <w:r w:rsidRPr="00DF4916">
        <w:rPr>
          <w:rFonts w:eastAsia="Times New Roman"/>
          <w:snapToGrid w:val="0"/>
          <w:color w:val="000000"/>
          <w:sz w:val="24"/>
          <w:szCs w:val="24"/>
          <w:lang w:eastAsia="pt-BR"/>
        </w:rPr>
        <w:t xml:space="preserve"> </w:t>
      </w:r>
      <w:r w:rsidRPr="00DF4916">
        <w:rPr>
          <w:rFonts w:eastAsia="Times New Roman"/>
          <w:snapToGrid w:val="0"/>
          <w:color w:val="000000"/>
          <w:sz w:val="24"/>
          <w:szCs w:val="24"/>
          <w:lang w:eastAsia="pt-BR"/>
        </w:rPr>
        <w:tab/>
      </w:r>
      <w:r w:rsidRPr="00DF4916">
        <w:rPr>
          <w:rFonts w:eastAsia="Times New Roman"/>
          <w:snapToGrid w:val="0"/>
          <w:color w:val="000000"/>
          <w:sz w:val="24"/>
          <w:szCs w:val="24"/>
          <w:lang w:eastAsia="pt-BR"/>
        </w:rPr>
        <w:tab/>
      </w:r>
      <w:r w:rsidRPr="00DF4916">
        <w:rPr>
          <w:rFonts w:eastAsia="Times New Roman"/>
          <w:snapToGrid w:val="0"/>
          <w:color w:val="000000"/>
          <w:sz w:val="24"/>
          <w:szCs w:val="24"/>
          <w:lang w:eastAsia="pt-BR"/>
        </w:rPr>
        <w:tab/>
        <w:t>Art. 2º Fica vedada a concessão de empréstimos ou financiamentos em instituições bancárias da administração pública federal, às pessoas físicas ou jurídicas que submeterem trabalhadores a condições análogas à de escravo.</w:t>
      </w:r>
    </w:p>
    <w:p w:rsidR="00DF4916" w:rsidRPr="00DF4916" w:rsidRDefault="00DF4916" w:rsidP="00DF4916">
      <w:pPr>
        <w:autoSpaceDE w:val="0"/>
        <w:autoSpaceDN w:val="0"/>
        <w:adjustRightInd w:val="0"/>
        <w:rPr>
          <w:rFonts w:eastAsia="Times New Roman"/>
          <w:snapToGrid w:val="0"/>
          <w:color w:val="000000"/>
          <w:sz w:val="24"/>
          <w:szCs w:val="24"/>
          <w:lang w:eastAsia="pt-BR"/>
        </w:rPr>
      </w:pPr>
      <w:r w:rsidRPr="00DF4916">
        <w:rPr>
          <w:rFonts w:eastAsia="Times New Roman"/>
          <w:snapToGrid w:val="0"/>
          <w:color w:val="000000"/>
          <w:sz w:val="24"/>
          <w:szCs w:val="24"/>
          <w:lang w:eastAsia="pt-BR"/>
        </w:rPr>
        <w:t xml:space="preserve"> </w:t>
      </w:r>
      <w:r w:rsidRPr="00DF4916">
        <w:rPr>
          <w:rFonts w:eastAsia="Times New Roman"/>
          <w:snapToGrid w:val="0"/>
          <w:color w:val="000000"/>
          <w:sz w:val="24"/>
          <w:szCs w:val="24"/>
          <w:lang w:eastAsia="pt-BR"/>
        </w:rPr>
        <w:tab/>
      </w:r>
      <w:r w:rsidRPr="00DF4916">
        <w:rPr>
          <w:rFonts w:eastAsia="Times New Roman"/>
          <w:snapToGrid w:val="0"/>
          <w:color w:val="000000"/>
          <w:sz w:val="24"/>
          <w:szCs w:val="24"/>
          <w:lang w:eastAsia="pt-BR"/>
        </w:rPr>
        <w:tab/>
      </w:r>
      <w:r w:rsidRPr="00DF4916">
        <w:rPr>
          <w:rFonts w:eastAsia="Times New Roman"/>
          <w:snapToGrid w:val="0"/>
          <w:color w:val="000000"/>
          <w:sz w:val="24"/>
          <w:szCs w:val="24"/>
          <w:lang w:eastAsia="pt-BR"/>
        </w:rPr>
        <w:tab/>
        <w:t>Parágrafo único. A vedação está condicionada ao trânsito em julgado de decisão proferida no devido processo administrativo relativo ao auto de infração lavrado em decorrência de ação fiscal, na forma e nos limites do regulamento expedido pelo órgão competente.</w:t>
      </w:r>
    </w:p>
    <w:p w:rsidR="00DF4916" w:rsidRPr="00DF4916" w:rsidRDefault="00DF4916" w:rsidP="00DF4916">
      <w:pPr>
        <w:autoSpaceDE w:val="0"/>
        <w:autoSpaceDN w:val="0"/>
        <w:adjustRightInd w:val="0"/>
        <w:rPr>
          <w:rFonts w:eastAsia="Times New Roman"/>
          <w:snapToGrid w:val="0"/>
          <w:color w:val="000000"/>
          <w:sz w:val="24"/>
          <w:szCs w:val="24"/>
          <w:lang w:eastAsia="pt-BR"/>
        </w:rPr>
      </w:pPr>
    </w:p>
    <w:p w:rsidR="00DF4916" w:rsidRPr="00DF4916" w:rsidRDefault="00DF4916" w:rsidP="00DF4916">
      <w:pPr>
        <w:autoSpaceDE w:val="0"/>
        <w:autoSpaceDN w:val="0"/>
        <w:adjustRightInd w:val="0"/>
        <w:rPr>
          <w:rFonts w:eastAsia="Times New Roman"/>
          <w:snapToGrid w:val="0"/>
          <w:color w:val="000000"/>
          <w:sz w:val="24"/>
          <w:szCs w:val="24"/>
          <w:lang w:eastAsia="pt-BR"/>
        </w:rPr>
      </w:pPr>
      <w:r w:rsidRPr="00DF4916">
        <w:rPr>
          <w:rFonts w:eastAsia="Times New Roman"/>
          <w:snapToGrid w:val="0"/>
          <w:color w:val="000000"/>
          <w:sz w:val="24"/>
          <w:szCs w:val="24"/>
          <w:lang w:eastAsia="pt-BR"/>
        </w:rPr>
        <w:t xml:space="preserve"> </w:t>
      </w:r>
      <w:r w:rsidRPr="00DF4916">
        <w:rPr>
          <w:rFonts w:eastAsia="Times New Roman"/>
          <w:snapToGrid w:val="0"/>
          <w:color w:val="000000"/>
          <w:sz w:val="24"/>
          <w:szCs w:val="24"/>
          <w:lang w:eastAsia="pt-BR"/>
        </w:rPr>
        <w:tab/>
      </w:r>
      <w:r w:rsidRPr="00DF4916">
        <w:rPr>
          <w:rFonts w:eastAsia="Times New Roman"/>
          <w:snapToGrid w:val="0"/>
          <w:color w:val="000000"/>
          <w:sz w:val="24"/>
          <w:szCs w:val="24"/>
          <w:lang w:eastAsia="pt-BR"/>
        </w:rPr>
        <w:tab/>
      </w:r>
      <w:r w:rsidRPr="00DF4916">
        <w:rPr>
          <w:rFonts w:eastAsia="Times New Roman"/>
          <w:snapToGrid w:val="0"/>
          <w:color w:val="000000"/>
          <w:sz w:val="24"/>
          <w:szCs w:val="24"/>
          <w:lang w:eastAsia="pt-BR"/>
        </w:rPr>
        <w:tab/>
        <w:t>Art. 4º Esta Lei entra em vigor na data de sua publicação</w:t>
      </w:r>
    </w:p>
    <w:p w:rsidR="00DF4916" w:rsidRPr="00DF4916" w:rsidRDefault="00DF4916" w:rsidP="00DF4916">
      <w:pPr>
        <w:widowControl w:val="0"/>
        <w:ind w:left="1701"/>
        <w:rPr>
          <w:rFonts w:ascii="Times New Roman" w:eastAsia="Times New Roman" w:hAnsi="Times New Roman"/>
          <w:i/>
          <w:szCs w:val="20"/>
          <w:lang w:eastAsia="pt-BR"/>
        </w:rPr>
      </w:pPr>
      <w:r w:rsidRPr="00DF4916">
        <w:rPr>
          <w:rFonts w:ascii="Times New Roman" w:eastAsia="Times New Roman" w:hAnsi="Times New Roman"/>
          <w:i/>
          <w:szCs w:val="20"/>
          <w:lang w:eastAsia="pt-BR"/>
        </w:rPr>
        <w:t xml:space="preserve"> </w:t>
      </w:r>
      <w:r w:rsidRPr="00DF4916">
        <w:rPr>
          <w:rFonts w:ascii="Times New Roman" w:eastAsia="Times New Roman" w:hAnsi="Times New Roman"/>
          <w:i/>
          <w:szCs w:val="20"/>
          <w:lang w:eastAsia="pt-BR"/>
        </w:rPr>
        <w:tab/>
      </w:r>
      <w:r w:rsidRPr="00DF4916">
        <w:rPr>
          <w:rFonts w:ascii="Times New Roman" w:eastAsia="Times New Roman" w:hAnsi="Times New Roman"/>
          <w:i/>
          <w:szCs w:val="20"/>
          <w:lang w:eastAsia="pt-BR"/>
        </w:rPr>
        <w:tab/>
      </w:r>
      <w:r w:rsidRPr="00DF4916">
        <w:rPr>
          <w:rFonts w:ascii="Times New Roman" w:eastAsia="Times New Roman" w:hAnsi="Times New Roman"/>
          <w:i/>
          <w:szCs w:val="20"/>
          <w:lang w:eastAsia="pt-BR"/>
        </w:rPr>
        <w:tab/>
      </w:r>
    </w:p>
    <w:p w:rsidR="00DF4916" w:rsidRPr="00DF4916" w:rsidRDefault="00DF4916" w:rsidP="00DF4916">
      <w:pPr>
        <w:jc w:val="center"/>
        <w:rPr>
          <w:rFonts w:eastAsia="Times New Roman"/>
          <w:b/>
          <w:sz w:val="28"/>
          <w:szCs w:val="28"/>
          <w:lang w:eastAsia="pt-BR"/>
        </w:rPr>
      </w:pPr>
      <w:r w:rsidRPr="00DF4916">
        <w:rPr>
          <w:rFonts w:eastAsia="Times New Roman"/>
          <w:b/>
          <w:sz w:val="28"/>
          <w:szCs w:val="28"/>
          <w:lang w:eastAsia="pt-BR"/>
        </w:rPr>
        <w:t>JUSTIFICATIVA</w:t>
      </w:r>
    </w:p>
    <w:p w:rsidR="00DF4916" w:rsidRPr="00DF4916" w:rsidRDefault="00DF4916" w:rsidP="00DF4916">
      <w:pPr>
        <w:rPr>
          <w:rFonts w:eastAsia="Times New Roman"/>
          <w:sz w:val="24"/>
          <w:szCs w:val="24"/>
          <w:lang w:eastAsia="pt-BR"/>
        </w:rPr>
      </w:pPr>
      <w:r w:rsidRPr="00DF4916">
        <w:rPr>
          <w:rFonts w:ascii="Helvetica" w:eastAsia="Times New Roman" w:hAnsi="Helvetica" w:cs="Helvetica"/>
          <w:szCs w:val="20"/>
          <w:lang w:eastAsia="pt-BR"/>
        </w:rPr>
        <w:t xml:space="preserve"> </w:t>
      </w:r>
      <w:r w:rsidRPr="00DF4916">
        <w:rPr>
          <w:rFonts w:ascii="Helvetica" w:eastAsia="Times New Roman" w:hAnsi="Helvetica" w:cs="Helvetica"/>
          <w:szCs w:val="20"/>
          <w:lang w:eastAsia="pt-BR"/>
        </w:rPr>
        <w:tab/>
      </w:r>
      <w:r w:rsidRPr="00DF4916">
        <w:rPr>
          <w:rFonts w:eastAsia="Times New Roman"/>
          <w:sz w:val="24"/>
          <w:szCs w:val="24"/>
          <w:lang w:eastAsia="pt-BR"/>
        </w:rPr>
        <w:tab/>
        <w:t xml:space="preserve"> </w:t>
      </w: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t xml:space="preserve"> </w:t>
      </w:r>
      <w:r w:rsidRPr="00DF4916">
        <w:rPr>
          <w:rFonts w:eastAsia="Times New Roman"/>
          <w:sz w:val="24"/>
          <w:szCs w:val="24"/>
          <w:lang w:eastAsia="pt-BR"/>
        </w:rPr>
        <w:tab/>
        <w:t>As instituições financeiras públicas desempenham importante papel no desenvolvimento econômico e social do país e, por integrarem a administração pública, devem ter por finalidade o atendimento do interesse público, o que implica compromisso institucional com os princípios e garantias previstos na Constituição Federal.</w:t>
      </w: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 xml:space="preserve">Apesar da natureza predominantemente pública, os agentes financeiros de fomento ao desenvolvimento ainda não possuem mecanismos operacionais suficientes para a proteção dos direitos humanos. </w:t>
      </w: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 xml:space="preserve">Frequentemente vemos a imprensa nacional, respaldada em procedimentos administrativos e judiciais e, principalmente, nas atividades de fiscalização exercidas pelo Ministério do Trabalho e Emprego, divulgar graves violações de direitos humanos sob o abrigo do financiamento público. A exemplo disso, lembramos do emblemático caso de Jirau, onde trabalhadores foram libertados de condições de  trabalho análogo a de escravo durante a construção da Usina Hidrelétrica no Rio Madeira. </w:t>
      </w:r>
      <w:r w:rsidRPr="00DF4916">
        <w:rPr>
          <w:rFonts w:eastAsia="Times New Roman"/>
          <w:b/>
          <w:sz w:val="24"/>
          <w:szCs w:val="24"/>
          <w:u w:val="single"/>
          <w:lang w:eastAsia="pt-BR"/>
        </w:rPr>
        <w:t>O projeto recebeu R$ 7,2 bilhões do BNDES</w:t>
      </w:r>
      <w:r w:rsidRPr="00DF4916">
        <w:rPr>
          <w:rFonts w:eastAsia="Times New Roman"/>
          <w:sz w:val="24"/>
          <w:szCs w:val="24"/>
          <w:lang w:eastAsia="pt-BR"/>
        </w:rPr>
        <w:t>.</w:t>
      </w: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 xml:space="preserve">A recorrência de fatos similares ao exemplo ora mencionado resultou na aprovação de dispositivo constante da Lei </w:t>
      </w:r>
      <w:hyperlink r:id="rId8" w:history="1">
        <w:r w:rsidRPr="00DF4916">
          <w:rPr>
            <w:rFonts w:eastAsia="Times New Roman"/>
            <w:sz w:val="24"/>
            <w:szCs w:val="24"/>
            <w:lang w:eastAsia="pt-BR"/>
          </w:rPr>
          <w:t>nº 11.948, de 16 de junho de 2009, que prevê a impossibilidade de concessão de empréstimos e financiamentos pelo BNDES a empresas da iniciativa privada cujos dirigentes sejam condenados por assédio moral ou sexual, racismo, trabalho infantil, trabalho escravo ou crime contra o meio ambiente.</w:t>
        </w:r>
      </w:hyperlink>
      <w:r w:rsidRPr="00DF4916">
        <w:rPr>
          <w:rFonts w:eastAsia="Times New Roman"/>
          <w:sz w:val="24"/>
          <w:szCs w:val="24"/>
          <w:lang w:eastAsia="pt-BR"/>
        </w:rPr>
        <w:t xml:space="preserve"> Apesar de louvável a iniciativa, sabe-se que a morosidade do processo judicial prejudica a efetividade  do dispositivo, pois permite o acesso ao crédito durante o longo período de tramitação processual. Ademais, a restrição restringe-se ao BNDES, não alcançando outras instituições financeiras públicas. </w:t>
      </w: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 xml:space="preserve">Nesse contexto, o Cadastro de Empregados Infratores do Ministério do Trabalho e Emprego, previsto na Portaria Interministerial n. 02/2011, conhecido como a “lista suja” do trabalho escravo, assumiu papel importante. Trata-se de instrumento normativo administrativo que ampara a recusa de concessão de crédito e permite às instituições financeiras públicas a suspensão dos contratos de </w:t>
      </w:r>
      <w:r w:rsidRPr="00DF4916">
        <w:rPr>
          <w:rFonts w:eastAsia="Times New Roman"/>
          <w:sz w:val="24"/>
          <w:szCs w:val="24"/>
          <w:lang w:eastAsia="pt-BR"/>
        </w:rPr>
        <w:lastRenderedPageBreak/>
        <w:t>financiamento em andamento quando os beneficiários do crédito forem flagrados na prática de submeter trabalhadores a condições de trabalho análogas à de escravo.</w:t>
      </w: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O cadastro também ampara as restrições comerciais de diversas empresas brasileiras que assinaram o Pacto Nacional para a Erradicação do Trabalho Escravo, importante política pública decorrente do trabalho árduo da sociedade civil organizada.</w:t>
      </w: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 xml:space="preserve"> </w:t>
      </w: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 xml:space="preserve">A recente suspensão da divulgação do Cadastro de Empregados Infratores do Ministério do Trabalho e Emprego, em decorrência de decisão liminar do STF, representou um grande retrocesso para política de erradicação do trabalho escravo. </w:t>
      </w: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Já circulam as notícias de que BNDES e Caixa Econômica Federal deixaram de checar a lista previamente à concessão de empréstimos, apesar de a mesma ser pública e continuar sendo disponibilizada pelo Ministério do Trabalho e Emprego. Com efeito, não há mais o mecanismo de proteção ao financiamento público do trabalho escravo; um verdadeiro desprestígio ao esforço empenhado pela sociedade e ao trabalho dos agentes do Ministério do Trabalho e Emprego que arriscam a vida para erradicar a nefasta prática de escravidão moderna.</w:t>
      </w:r>
    </w:p>
    <w:p w:rsidR="00DF4916" w:rsidRPr="00DF4916" w:rsidRDefault="00DF4916" w:rsidP="00DF4916">
      <w:pPr>
        <w:rPr>
          <w:rFonts w:eastAsia="Times New Roman"/>
          <w:color w:val="FF0000"/>
          <w:sz w:val="24"/>
          <w:szCs w:val="24"/>
          <w:lang w:eastAsia="pt-BR"/>
        </w:rPr>
      </w:pPr>
      <w:r w:rsidRPr="00DF4916">
        <w:rPr>
          <w:rFonts w:eastAsia="Times New Roman"/>
          <w:color w:val="FF0000"/>
          <w:sz w:val="24"/>
          <w:szCs w:val="24"/>
          <w:lang w:eastAsia="pt-BR"/>
        </w:rPr>
        <w:t xml:space="preserve"> </w:t>
      </w:r>
      <w:r w:rsidRPr="00DF4916">
        <w:rPr>
          <w:rFonts w:eastAsia="Times New Roman"/>
          <w:color w:val="FF0000"/>
          <w:sz w:val="24"/>
          <w:szCs w:val="24"/>
          <w:lang w:eastAsia="pt-BR"/>
        </w:rPr>
        <w:tab/>
      </w:r>
      <w:r w:rsidRPr="00DF4916">
        <w:rPr>
          <w:rFonts w:eastAsia="Times New Roman"/>
          <w:color w:val="FF0000"/>
          <w:sz w:val="24"/>
          <w:szCs w:val="24"/>
          <w:lang w:eastAsia="pt-BR"/>
        </w:rPr>
        <w:tab/>
        <w:t xml:space="preserve"> </w:t>
      </w: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De acordo com o Ministro do STF, Ricardo Lewandowski, a Portaria interministerial criou uma lista sem respaldo legal. Assim, a presente proposição visa a reforçar o amparo jurídico ao Cadastro de Empregadores publicado pelo Ministério do Trabalho e Emprego, especialmente no que se refere à legalidade das restrições à concessão de crédito por instituições financeiras que integram a administração pública federal.</w:t>
      </w:r>
    </w:p>
    <w:p w:rsidR="00DF4916" w:rsidRPr="00DF4916" w:rsidRDefault="00DF4916" w:rsidP="00DF4916">
      <w:pPr>
        <w:rPr>
          <w:rFonts w:eastAsia="Times New Roman"/>
          <w:color w:val="FF0000"/>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color w:val="FF0000"/>
          <w:sz w:val="24"/>
          <w:szCs w:val="24"/>
          <w:lang w:eastAsia="pt-BR"/>
        </w:rPr>
        <w:t xml:space="preserve"> </w:t>
      </w:r>
      <w:r w:rsidRPr="00DF4916">
        <w:rPr>
          <w:rFonts w:eastAsia="Times New Roman"/>
          <w:color w:val="FF0000"/>
          <w:sz w:val="24"/>
          <w:szCs w:val="24"/>
          <w:lang w:eastAsia="pt-BR"/>
        </w:rPr>
        <w:tab/>
      </w:r>
      <w:r w:rsidRPr="00DF4916">
        <w:rPr>
          <w:rFonts w:eastAsia="Times New Roman"/>
          <w:color w:val="FF0000"/>
          <w:sz w:val="24"/>
          <w:szCs w:val="24"/>
          <w:lang w:eastAsia="pt-BR"/>
        </w:rPr>
        <w:tab/>
      </w:r>
      <w:r w:rsidRPr="00DF4916">
        <w:rPr>
          <w:rFonts w:eastAsia="Times New Roman"/>
          <w:sz w:val="24"/>
          <w:szCs w:val="24"/>
          <w:lang w:eastAsia="pt-BR"/>
        </w:rPr>
        <w:t>Não há dúvidas de que a instituição financeira possui liberalidade na concessão de crédito. A consulta do histórico de crédito, constante de cadastros como SERASA e SPC, é usual para negar empréstimos e financiamentos aos maus pagadores. Neste sentido, a lista do MTE vem somar-se a outros instrumentos de pesquisa cadastral prévia para concessão de crédito à pessoa física ou jurídica, merecendo tratamento de maior relevância, mormente por se tratar de instrumento de proteção da dignidade humana.</w:t>
      </w: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 xml:space="preserve">Vale lembrar que uma parcela significativa dos recursos do BNDES é oriunda do Fundo de Amparo ao Trabalhador. Mais um motivo para exigir coerência e a boa governança na disposição de recursos que consistem em um verdadeiro patrimônio do trabalhador. </w:t>
      </w: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r w:rsidRPr="00DF4916">
        <w:rPr>
          <w:rFonts w:eastAsia="Times New Roman"/>
          <w:sz w:val="24"/>
          <w:szCs w:val="24"/>
          <w:lang w:eastAsia="pt-BR"/>
        </w:rPr>
        <w:t xml:space="preserve"> </w:t>
      </w:r>
      <w:r w:rsidRPr="00DF4916">
        <w:rPr>
          <w:rFonts w:eastAsia="Times New Roman"/>
          <w:sz w:val="24"/>
          <w:szCs w:val="24"/>
          <w:lang w:eastAsia="pt-BR"/>
        </w:rPr>
        <w:tab/>
      </w:r>
      <w:r w:rsidRPr="00DF4916">
        <w:rPr>
          <w:rFonts w:eastAsia="Times New Roman"/>
          <w:sz w:val="24"/>
          <w:szCs w:val="24"/>
          <w:lang w:eastAsia="pt-BR"/>
        </w:rPr>
        <w:tab/>
        <w:t xml:space="preserve">ANTE O EXPOSTO, contamos com o apoio dos nobres pares para a aprovação do presente Projeto de Lei. </w:t>
      </w:r>
      <w:r w:rsidRPr="00DF4916">
        <w:rPr>
          <w:rFonts w:eastAsia="Times New Roman"/>
          <w:sz w:val="24"/>
          <w:szCs w:val="24"/>
          <w:lang w:eastAsia="pt-BR"/>
        </w:rPr>
        <w:tab/>
      </w:r>
    </w:p>
    <w:p w:rsidR="008C67F5" w:rsidRPr="00DF4916" w:rsidRDefault="008C67F5" w:rsidP="008C67F5">
      <w:pPr>
        <w:widowControl w:val="0"/>
        <w:rPr>
          <w:rFonts w:eastAsia="Times New Roman"/>
          <w:snapToGrid w:val="0"/>
          <w:color w:val="000000"/>
          <w:sz w:val="24"/>
          <w:szCs w:val="20"/>
          <w:lang w:eastAsia="pt-BR"/>
        </w:rPr>
      </w:pPr>
      <w:r w:rsidRPr="00DF4916">
        <w:rPr>
          <w:rFonts w:eastAsia="Times New Roman"/>
          <w:snapToGrid w:val="0"/>
          <w:color w:val="000000"/>
          <w:sz w:val="24"/>
          <w:szCs w:val="20"/>
          <w:lang w:eastAsia="pt-BR"/>
        </w:rPr>
        <w:tab/>
      </w:r>
      <w:r w:rsidRPr="00DF4916">
        <w:rPr>
          <w:rFonts w:eastAsia="Times New Roman"/>
          <w:snapToGrid w:val="0"/>
          <w:color w:val="000000"/>
          <w:sz w:val="24"/>
          <w:szCs w:val="20"/>
          <w:lang w:eastAsia="pt-BR"/>
        </w:rPr>
        <w:tab/>
      </w:r>
    </w:p>
    <w:p w:rsidR="008C67F5" w:rsidRPr="00DF4916" w:rsidRDefault="008C67F5" w:rsidP="008C67F5">
      <w:pPr>
        <w:ind w:firstLine="2268"/>
        <w:rPr>
          <w:rFonts w:eastAsia="Times New Roman"/>
          <w:sz w:val="24"/>
          <w:szCs w:val="20"/>
          <w:lang w:eastAsia="pt-BR"/>
        </w:rPr>
      </w:pPr>
      <w:r w:rsidRPr="00DF4916">
        <w:rPr>
          <w:rFonts w:eastAsia="Times New Roman"/>
          <w:sz w:val="24"/>
          <w:szCs w:val="20"/>
          <w:lang w:eastAsia="pt-BR"/>
        </w:rPr>
        <w:t>Sala das sessões, em 24 de fevereiro de 2015.</w:t>
      </w:r>
    </w:p>
    <w:p w:rsidR="008C67F5" w:rsidRPr="00DF4916" w:rsidRDefault="008C67F5" w:rsidP="008C67F5">
      <w:pPr>
        <w:ind w:firstLine="2268"/>
        <w:rPr>
          <w:rFonts w:eastAsia="Times New Roman"/>
          <w:sz w:val="24"/>
          <w:szCs w:val="20"/>
          <w:lang w:eastAsia="pt-BR"/>
        </w:rPr>
      </w:pPr>
    </w:p>
    <w:p w:rsidR="00DF4916" w:rsidRPr="00DF4916" w:rsidRDefault="00DF4916" w:rsidP="00DF4916">
      <w:pPr>
        <w:rPr>
          <w:rFonts w:eastAsia="Times New Roman"/>
          <w:sz w:val="24"/>
          <w:szCs w:val="24"/>
          <w:lang w:eastAsia="pt-BR"/>
        </w:rPr>
      </w:pPr>
    </w:p>
    <w:p w:rsidR="00DF4916" w:rsidRPr="00DF4916" w:rsidRDefault="00DF4916" w:rsidP="00DF4916">
      <w:pPr>
        <w:rPr>
          <w:rFonts w:eastAsia="Times New Roman"/>
          <w:sz w:val="24"/>
          <w:szCs w:val="24"/>
          <w:lang w:eastAsia="pt-BR"/>
        </w:rPr>
      </w:pPr>
    </w:p>
    <w:p w:rsidR="00DF4916" w:rsidRPr="00DF4916" w:rsidRDefault="00DF4916" w:rsidP="00DF4916">
      <w:pPr>
        <w:jc w:val="center"/>
        <w:rPr>
          <w:rFonts w:eastAsia="Times New Roman"/>
          <w:sz w:val="24"/>
          <w:szCs w:val="20"/>
          <w:lang w:eastAsia="pt-BR"/>
        </w:rPr>
      </w:pPr>
      <w:r w:rsidRPr="00DF4916">
        <w:rPr>
          <w:rFonts w:eastAsia="Times New Roman"/>
          <w:b/>
          <w:sz w:val="24"/>
          <w:szCs w:val="20"/>
          <w:lang w:eastAsia="pt-BR"/>
        </w:rPr>
        <w:t>Deputado</w:t>
      </w:r>
      <w:r w:rsidRPr="00DF4916">
        <w:rPr>
          <w:rFonts w:eastAsia="Times New Roman"/>
          <w:sz w:val="24"/>
          <w:szCs w:val="20"/>
          <w:lang w:eastAsia="pt-BR"/>
        </w:rPr>
        <w:t xml:space="preserve"> BEBETO</w:t>
      </w:r>
    </w:p>
    <w:p w:rsidR="00DF4916" w:rsidRPr="00DF4916" w:rsidRDefault="00DF4916" w:rsidP="00DF4916">
      <w:pPr>
        <w:rPr>
          <w:rFonts w:eastAsia="Times New Roman"/>
          <w:sz w:val="24"/>
          <w:szCs w:val="24"/>
          <w:lang w:eastAsia="pt-BR"/>
        </w:rPr>
      </w:pPr>
    </w:p>
    <w:p w:rsidR="00DF4916" w:rsidRDefault="00DF4916" w:rsidP="00DF4916">
      <w:pPr>
        <w:pBdr>
          <w:top w:val="single" w:sz="4" w:space="1" w:color="auto"/>
          <w:left w:val="single" w:sz="4" w:space="4" w:color="auto"/>
          <w:bottom w:val="single" w:sz="4" w:space="1" w:color="auto"/>
          <w:right w:val="single" w:sz="4" w:space="4" w:color="auto"/>
        </w:pBdr>
        <w:jc w:val="center"/>
        <w:rPr>
          <w:b/>
          <w:sz w:val="24"/>
        </w:rPr>
      </w:pPr>
      <w:bookmarkStart w:id="11" w:name="z947737_LEGISLACAO"/>
      <w:bookmarkEnd w:id="10"/>
      <w:r>
        <w:rPr>
          <w:b/>
          <w:sz w:val="24"/>
        </w:rPr>
        <w:t>LEGISLAÇÃO CITADA ANEXADA PELA</w:t>
      </w:r>
    </w:p>
    <w:p w:rsidR="00DF4916" w:rsidRDefault="00DF4916" w:rsidP="00DF4916">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DF4916" w:rsidRDefault="00DF4916" w:rsidP="00DF4916">
      <w:pPr>
        <w:jc w:val="center"/>
        <w:rPr>
          <w:b/>
          <w:sz w:val="24"/>
        </w:rPr>
      </w:pPr>
    </w:p>
    <w:p w:rsidR="00DF4916" w:rsidRPr="00DF4916" w:rsidRDefault="00DF4916" w:rsidP="00DF4916">
      <w:pPr>
        <w:tabs>
          <w:tab w:val="center" w:pos="4419"/>
          <w:tab w:val="right" w:pos="8838"/>
        </w:tabs>
        <w:jc w:val="center"/>
        <w:rPr>
          <w:rFonts w:ascii="Times New Roman" w:eastAsia="Times New Roman" w:hAnsi="Times New Roman" w:cs="Times New Roman"/>
          <w:b/>
          <w:sz w:val="28"/>
          <w:szCs w:val="20"/>
          <w:lang w:eastAsia="pt-BR"/>
        </w:rPr>
      </w:pPr>
      <w:r w:rsidRPr="00DF4916">
        <w:rPr>
          <w:rFonts w:ascii="Times New Roman" w:eastAsia="Times New Roman" w:hAnsi="Times New Roman" w:cs="Times New Roman"/>
          <w:b/>
          <w:sz w:val="28"/>
          <w:szCs w:val="20"/>
          <w:lang w:eastAsia="pt-BR"/>
        </w:rPr>
        <w:t>LEI Nº 11.948, DE 16 DE JUNHO DE 2009</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p>
    <w:p w:rsidR="00DF4916" w:rsidRPr="00DF4916" w:rsidRDefault="00DF4916" w:rsidP="00DF4916">
      <w:pPr>
        <w:tabs>
          <w:tab w:val="center" w:pos="4419"/>
          <w:tab w:val="right" w:pos="8838"/>
        </w:tabs>
        <w:ind w:left="4536"/>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Constitui fonte adicional de recursos para ampliação de limites operacionais do Banco Nacional de Desenvolvimento Econômico e Social - BNDES e dá outras providências.</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p>
    <w:p w:rsidR="00DF4916" w:rsidRPr="00DF4916" w:rsidRDefault="00DF4916" w:rsidP="00DF4916">
      <w:pPr>
        <w:tabs>
          <w:tab w:val="center" w:pos="4419"/>
          <w:tab w:val="right" w:pos="8838"/>
        </w:tabs>
        <w:ind w:firstLine="1134"/>
        <w:rPr>
          <w:rFonts w:ascii="Times New Roman" w:eastAsia="Times New Roman" w:hAnsi="Times New Roman" w:cs="Times New Roman"/>
          <w:b/>
          <w:sz w:val="24"/>
          <w:szCs w:val="20"/>
          <w:lang w:eastAsia="pt-BR"/>
        </w:rPr>
      </w:pPr>
      <w:r w:rsidRPr="00DF4916">
        <w:rPr>
          <w:rFonts w:ascii="Times New Roman" w:eastAsia="Times New Roman" w:hAnsi="Times New Roman" w:cs="Times New Roman"/>
          <w:b/>
          <w:sz w:val="24"/>
          <w:szCs w:val="20"/>
          <w:lang w:eastAsia="pt-BR"/>
        </w:rPr>
        <w:t>O VICE-PRESIDENTE DA REPÚBLICA</w:t>
      </w:r>
      <w:r w:rsidRPr="00DF4916">
        <w:rPr>
          <w:rFonts w:ascii="Times New Roman" w:eastAsia="Times New Roman" w:hAnsi="Times New Roman" w:cs="Times New Roman"/>
          <w:sz w:val="24"/>
          <w:szCs w:val="20"/>
          <w:lang w:eastAsia="pt-BR"/>
        </w:rPr>
        <w:t xml:space="preserve">, no exercício do cargo de </w:t>
      </w:r>
      <w:r w:rsidRPr="00DF4916">
        <w:rPr>
          <w:rFonts w:ascii="Times New Roman" w:eastAsia="Times New Roman" w:hAnsi="Times New Roman" w:cs="Times New Roman"/>
          <w:b/>
          <w:sz w:val="24"/>
          <w:szCs w:val="20"/>
          <w:lang w:eastAsia="pt-BR"/>
        </w:rPr>
        <w:t xml:space="preserve">PRESIDENTE DA REPÚBLICA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Faço saber que o Congresso Nacional decreta e eu sanciono a seguinte Lei: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p>
    <w:p w:rsidR="00DF4916" w:rsidRPr="00DF4916" w:rsidRDefault="00DF4916" w:rsidP="00DF4916">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DF4916">
        <w:rPr>
          <w:rFonts w:ascii="Times New Roman" w:eastAsia="Times New Roman" w:hAnsi="Times New Roman" w:cs="Times New Roman"/>
          <w:sz w:val="24"/>
          <w:szCs w:val="20"/>
          <w:lang w:eastAsia="pt-BR"/>
        </w:rPr>
        <w:t xml:space="preserve">Art. 1º Fica a União autorizada a conceder crédito ao Banco Nacional de Desenvolvimento Econômico e Social - BNDES, no montante de até R$ 180.000.000.000,00 (cento e oitenta bilhões de reais), em condições financeiras e contratuais a serem definidas pelo Ministro de Estado da Fazenda. </w:t>
      </w:r>
      <w:r w:rsidRPr="00DF4916">
        <w:rPr>
          <w:rFonts w:ascii="Times New Roman" w:eastAsia="Times New Roman" w:hAnsi="Times New Roman" w:cs="Times New Roman"/>
          <w:i/>
          <w:sz w:val="24"/>
          <w:szCs w:val="20"/>
          <w:lang w:eastAsia="pt-BR"/>
        </w:rPr>
        <w:fldChar w:fldCharType="begin"/>
      </w:r>
      <w:r w:rsidRPr="00DF4916">
        <w:rPr>
          <w:rFonts w:ascii="Times New Roman" w:eastAsia="Times New Roman" w:hAnsi="Times New Roman" w:cs="Times New Roman"/>
          <w:i/>
          <w:sz w:val="24"/>
          <w:szCs w:val="20"/>
          <w:lang w:eastAsia="pt-BR"/>
        </w:rPr>
        <w:instrText xml:space="preserve"> HYPERLINK "http://www2.camara.gov.br/legin/fed/lei/2010/lei-12249-11-junho-2010-606678-publicacao-127512-pl.html" </w:instrText>
      </w:r>
      <w:r w:rsidRPr="00DF4916">
        <w:rPr>
          <w:rFonts w:ascii="Times New Roman" w:eastAsia="Times New Roman" w:hAnsi="Times New Roman" w:cs="Times New Roman"/>
          <w:i/>
          <w:sz w:val="24"/>
          <w:szCs w:val="20"/>
          <w:lang w:eastAsia="pt-BR"/>
        </w:rPr>
        <w:fldChar w:fldCharType="separate"/>
      </w:r>
      <w:r w:rsidRPr="00DF4916">
        <w:rPr>
          <w:rFonts w:ascii="Times New Roman" w:eastAsia="Times New Roman" w:hAnsi="Times New Roman" w:cs="Times New Roman"/>
          <w:i/>
          <w:color w:val="0000FF"/>
          <w:sz w:val="24"/>
          <w:szCs w:val="20"/>
          <w:u w:val="single"/>
          <w:lang w:eastAsia="pt-BR"/>
        </w:rPr>
        <w:t>(Artigo com redação dada pela Lei nº 12.249, de 11/6/2010)</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i/>
          <w:sz w:val="24"/>
          <w:szCs w:val="20"/>
          <w:lang w:eastAsia="pt-BR"/>
        </w:rPr>
        <w:fldChar w:fldCharType="end"/>
      </w:r>
      <w:r w:rsidRPr="00DF4916">
        <w:rPr>
          <w:rFonts w:ascii="Times New Roman" w:eastAsia="Times New Roman" w:hAnsi="Times New Roman" w:cs="Times New Roman"/>
          <w:sz w:val="24"/>
          <w:szCs w:val="20"/>
          <w:lang w:eastAsia="pt-BR"/>
        </w:rPr>
        <w:t xml:space="preserve">§ 1º Para a cobertura do crédito de que trata o </w:t>
      </w:r>
      <w:r w:rsidRPr="00DF4916">
        <w:rPr>
          <w:rFonts w:ascii="Times New Roman" w:eastAsia="Times New Roman" w:hAnsi="Times New Roman" w:cs="Times New Roman"/>
          <w:i/>
          <w:sz w:val="24"/>
          <w:szCs w:val="20"/>
          <w:lang w:eastAsia="pt-BR"/>
        </w:rPr>
        <w:t>caput</w:t>
      </w:r>
      <w:r w:rsidRPr="00DF4916">
        <w:rPr>
          <w:rFonts w:ascii="Times New Roman" w:eastAsia="Times New Roman" w:hAnsi="Times New Roman" w:cs="Times New Roman"/>
          <w:sz w:val="24"/>
          <w:szCs w:val="20"/>
          <w:lang w:eastAsia="pt-BR"/>
        </w:rPr>
        <w:t xml:space="preserve">, a União poderá emitir, sob a forma de colocação direta, em favor do BNDES, títulos da Dívida Pública Mobiliária Federal, cujas características serão definidas pelo Ministro de Estado da Fazenda.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 2º Sem prejuízo do atendimento das finalidades específicas previstas em lei, o superávit financeiro existente no Tesouro Nacional no encerramento do exercício financeiro de 2008 poderá ser destinado à cobertura de parte do crédito de que trata o art. 1º desta Lei.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 3º No caso de emissão de títulos, será respeitada a equivalência econômica com o valor previsto no </w:t>
      </w:r>
      <w:r w:rsidRPr="00DF4916">
        <w:rPr>
          <w:rFonts w:ascii="Times New Roman" w:eastAsia="Times New Roman" w:hAnsi="Times New Roman" w:cs="Times New Roman"/>
          <w:i/>
          <w:sz w:val="24"/>
          <w:szCs w:val="20"/>
          <w:lang w:eastAsia="pt-BR"/>
        </w:rPr>
        <w:t>caput</w:t>
      </w:r>
      <w:r w:rsidRPr="00DF4916">
        <w:rPr>
          <w:rFonts w:ascii="Times New Roman" w:eastAsia="Times New Roman" w:hAnsi="Times New Roman" w:cs="Times New Roman"/>
          <w:sz w:val="24"/>
          <w:szCs w:val="20"/>
          <w:lang w:eastAsia="pt-BR"/>
        </w:rPr>
        <w:t xml:space="preserve">.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 4º Em contrapartida ao crédito concedido nos termos do </w:t>
      </w:r>
      <w:r w:rsidRPr="00DF4916">
        <w:rPr>
          <w:rFonts w:ascii="Times New Roman" w:eastAsia="Times New Roman" w:hAnsi="Times New Roman" w:cs="Times New Roman"/>
          <w:i/>
          <w:sz w:val="24"/>
          <w:szCs w:val="20"/>
          <w:lang w:eastAsia="pt-BR"/>
        </w:rPr>
        <w:t>caput</w:t>
      </w:r>
      <w:r w:rsidRPr="00DF4916">
        <w:rPr>
          <w:rFonts w:ascii="Times New Roman" w:eastAsia="Times New Roman" w:hAnsi="Times New Roman" w:cs="Times New Roman"/>
          <w:sz w:val="24"/>
          <w:szCs w:val="20"/>
          <w:lang w:eastAsia="pt-BR"/>
        </w:rPr>
        <w:t xml:space="preserve">, o BNDES poderá utilizar, a critério do Ministério da Fazenda, créditos detidos contra a BNDES Participações S.A. - BNDESPAR.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 5º O Tesouro Nacional fará jus à seguinte remuneração: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I - sobre até 30% (trinta por cento) do valor de que trata o </w:t>
      </w:r>
      <w:r w:rsidRPr="00DF4916">
        <w:rPr>
          <w:rFonts w:ascii="Times New Roman" w:eastAsia="Times New Roman" w:hAnsi="Times New Roman" w:cs="Times New Roman"/>
          <w:i/>
          <w:sz w:val="24"/>
          <w:szCs w:val="20"/>
          <w:lang w:eastAsia="pt-BR"/>
        </w:rPr>
        <w:t>caput</w:t>
      </w:r>
      <w:r w:rsidRPr="00DF4916">
        <w:rPr>
          <w:rFonts w:ascii="Times New Roman" w:eastAsia="Times New Roman" w:hAnsi="Times New Roman" w:cs="Times New Roman"/>
          <w:sz w:val="24"/>
          <w:szCs w:val="20"/>
          <w:lang w:eastAsia="pt-BR"/>
        </w:rPr>
        <w:t xml:space="preserve">, com base no custo de captação externo, em dólares norte-americanos, do Tesouro Nacional, para prazo equivalente ao do ressarcimento a ser efetuado pelo BNDES à União; </w:t>
      </w:r>
    </w:p>
    <w:p w:rsidR="00DF4916" w:rsidRPr="00DF4916" w:rsidRDefault="00DF4916" w:rsidP="00DF4916">
      <w:pPr>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II - sobre o valor remanescente, com base no custo financeiro equivalente à Taxa de Juros de Longo Prazo - TJLP. </w:t>
      </w:r>
      <w:hyperlink r:id="rId9" w:history="1">
        <w:r w:rsidRPr="00DF4916">
          <w:rPr>
            <w:rFonts w:ascii="Times New Roman" w:eastAsia="Times New Roman" w:hAnsi="Times New Roman" w:cs="Times New Roman"/>
            <w:i/>
            <w:color w:val="0000FF"/>
            <w:sz w:val="24"/>
            <w:szCs w:val="20"/>
            <w:u w:val="single"/>
            <w:lang w:eastAsia="pt-BR"/>
          </w:rPr>
          <w:t>(Inciso com redação dada pela Lei nº 12.096, de 24/11/2009)</w:t>
        </w:r>
      </w:hyperlink>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 6º O Banco Nacional de Desenvolvimento Econômico e Social - BNDES deverá encaminhar ao Congresso Nacional, até o último dia útil do mês subsequente de cada trimestre, relatório pormenorizado sobre as operações realizadas, indicando, entre outras informações, quantidade e valor das operações de financiamento realizadas, detalhadas por modalidade do investimento, setor produtivo beneficiado e localização dos empreendimentos; e estimativa dos impactos econômicos gerados pelos projetos, principalmente em termos de geração de emprego e renda, resguardado o sigilo bancário.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 7º Nas suas operações ativas, lastreadas com recursos captados com a União em operações de crédito, o BNDES poderá: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lastRenderedPageBreak/>
        <w:t xml:space="preserve">I - adotar o contravalor, em moeda nacional, da cotação do dólar norte-americano, divulgada pelo Banco Central do Brasil, como indexador, até o montante dos créditos cuja remuneração da União tenha sido fixada com base no custo de captação externo, naquela moeda estrangeira, do Tesouro Nacional, para prazo equivalente ao do ressarcimento, bem como cláusula de reajuste vinculado à variação cambial, até o montante dos créditos oriundos de repasses de recursos captados pela União em operações externas; e </w:t>
      </w:r>
    </w:p>
    <w:p w:rsidR="00DF4916" w:rsidRPr="00DF4916" w:rsidRDefault="00DF4916" w:rsidP="00DF4916">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DF4916">
        <w:rPr>
          <w:rFonts w:ascii="Times New Roman" w:eastAsia="Times New Roman" w:hAnsi="Times New Roman" w:cs="Times New Roman"/>
          <w:sz w:val="24"/>
          <w:szCs w:val="20"/>
          <w:lang w:eastAsia="pt-BR"/>
        </w:rPr>
        <w:t xml:space="preserve">II - alienar os títulos recebidos conforme o § 1º deste artigo, sob a forma direta, a sociedades de economia mista e a empresas públicas federais, suas subsidiárias e controladas, que venham a ser beneficiárias de seus créditos. </w:t>
      </w:r>
      <w:hyperlink r:id="rId10" w:history="1">
        <w:r w:rsidRPr="00DF4916">
          <w:rPr>
            <w:rFonts w:ascii="Times New Roman" w:eastAsia="Times New Roman" w:hAnsi="Times New Roman" w:cs="Times New Roman"/>
            <w:i/>
            <w:color w:val="0000FF"/>
            <w:sz w:val="24"/>
            <w:szCs w:val="20"/>
            <w:u w:val="single"/>
            <w:lang w:eastAsia="pt-BR"/>
          </w:rPr>
          <w:t>(Parágrafo acrescido pela Medida Provisória nº 465, de 29/6/2009</w:t>
        </w:r>
      </w:hyperlink>
      <w:r w:rsidRPr="00DF4916">
        <w:rPr>
          <w:rFonts w:ascii="Times New Roman" w:eastAsia="Times New Roman" w:hAnsi="Times New Roman" w:cs="Times New Roman"/>
          <w:i/>
          <w:sz w:val="24"/>
          <w:szCs w:val="20"/>
          <w:lang w:eastAsia="pt-BR"/>
        </w:rPr>
        <w:t xml:space="preserve">, </w:t>
      </w:r>
      <w:r w:rsidRPr="00DF4916">
        <w:rPr>
          <w:rFonts w:ascii="Times New Roman" w:eastAsia="Times New Roman" w:hAnsi="Times New Roman" w:cs="Times New Roman"/>
          <w:i/>
          <w:sz w:val="24"/>
          <w:szCs w:val="20"/>
          <w:lang w:eastAsia="pt-BR"/>
        </w:rPr>
        <w:fldChar w:fldCharType="begin"/>
      </w:r>
      <w:r w:rsidRPr="00DF4916">
        <w:rPr>
          <w:rFonts w:ascii="Times New Roman" w:eastAsia="Times New Roman" w:hAnsi="Times New Roman" w:cs="Times New Roman"/>
          <w:i/>
          <w:sz w:val="24"/>
          <w:szCs w:val="20"/>
          <w:lang w:eastAsia="pt-BR"/>
        </w:rPr>
        <w:instrText xml:space="preserve"> HYPERLINK "http://www2.camara.gov.br/internet/legislacao/legin.html/textos/visualizarTexto.html?ideNorma=593791&amp;seqTexto=118260&amp;PalavrasDestaque=" </w:instrText>
      </w:r>
      <w:r w:rsidRPr="00DF4916">
        <w:rPr>
          <w:rFonts w:ascii="Times New Roman" w:eastAsia="Times New Roman" w:hAnsi="Times New Roman" w:cs="Times New Roman"/>
          <w:i/>
          <w:sz w:val="24"/>
          <w:szCs w:val="20"/>
          <w:lang w:eastAsia="pt-BR"/>
        </w:rPr>
        <w:fldChar w:fldCharType="separate"/>
      </w:r>
      <w:r w:rsidRPr="00DF4916">
        <w:rPr>
          <w:rFonts w:ascii="Times New Roman" w:eastAsia="Times New Roman" w:hAnsi="Times New Roman" w:cs="Times New Roman"/>
          <w:i/>
          <w:color w:val="0000FF"/>
          <w:sz w:val="24"/>
          <w:szCs w:val="20"/>
          <w:u w:val="single"/>
          <w:lang w:eastAsia="pt-BR"/>
        </w:rPr>
        <w:t>convertida na Lei nº 12.096, de 24/11/2009)</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i/>
          <w:sz w:val="24"/>
          <w:szCs w:val="20"/>
          <w:lang w:eastAsia="pt-BR"/>
        </w:rPr>
        <w:fldChar w:fldCharType="end"/>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sz w:val="24"/>
          <w:szCs w:val="20"/>
          <w:lang w:eastAsia="pt-BR"/>
        </w:rPr>
        <w:t xml:space="preserve">Art. 2º O BNDES poderá recomprar da União, a qualquer tempo, os créditos referidos no § 4º do art. 1º, admitindo-se a dação em pagamento de bens e direitos de sua propriedade, a critério do Ministro de Estado da Fazenda. </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p>
    <w:p w:rsidR="00DF4916" w:rsidRPr="00DF4916" w:rsidRDefault="00DF4916" w:rsidP="00DF4916">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DF4916">
        <w:rPr>
          <w:rFonts w:ascii="Times New Roman" w:eastAsia="Times New Roman" w:hAnsi="Times New Roman" w:cs="Times New Roman"/>
          <w:sz w:val="24"/>
          <w:szCs w:val="20"/>
          <w:lang w:eastAsia="pt-BR"/>
        </w:rPr>
        <w:t xml:space="preserve">Art. 2º-A Fica a União autorizada a renegociar ou estabelecer as condições financeiras e contratuais de operações de crédito realizadas com o BNDES, mantida, em caso de renegociação, a equivalência econômica com o valor do saldo das operações de crédito renegociadas, e mediante aprovação do Ministro de Estado da Fazenda, observado o seguinte: </w:t>
      </w:r>
      <w:hyperlink r:id="rId11" w:history="1">
        <w:r w:rsidRPr="00DF4916">
          <w:rPr>
            <w:rFonts w:ascii="Times New Roman" w:eastAsia="Times New Roman" w:hAnsi="Times New Roman" w:cs="Times New Roman"/>
            <w:i/>
            <w:color w:val="0000FF"/>
            <w:sz w:val="24"/>
            <w:szCs w:val="20"/>
            <w:u w:val="single"/>
            <w:lang w:eastAsia="pt-BR"/>
          </w:rPr>
          <w:t>(“Caput” do artigo acrescido pela Medida Provisória nº 465, de 29/6/2009</w:t>
        </w:r>
      </w:hyperlink>
      <w:r w:rsidRPr="00DF4916">
        <w:rPr>
          <w:rFonts w:ascii="Times New Roman" w:eastAsia="Times New Roman" w:hAnsi="Times New Roman" w:cs="Times New Roman"/>
          <w:i/>
          <w:sz w:val="24"/>
          <w:szCs w:val="20"/>
          <w:lang w:eastAsia="pt-BR"/>
        </w:rPr>
        <w:t xml:space="preserve">, </w:t>
      </w:r>
      <w:r w:rsidRPr="00DF4916">
        <w:rPr>
          <w:rFonts w:ascii="Times New Roman" w:eastAsia="Times New Roman" w:hAnsi="Times New Roman" w:cs="Times New Roman"/>
          <w:i/>
          <w:sz w:val="24"/>
          <w:szCs w:val="20"/>
          <w:lang w:eastAsia="pt-BR"/>
        </w:rPr>
        <w:fldChar w:fldCharType="begin"/>
      </w:r>
      <w:r w:rsidRPr="00DF4916">
        <w:rPr>
          <w:rFonts w:ascii="Times New Roman" w:eastAsia="Times New Roman" w:hAnsi="Times New Roman" w:cs="Times New Roman"/>
          <w:i/>
          <w:sz w:val="24"/>
          <w:szCs w:val="20"/>
          <w:lang w:eastAsia="pt-BR"/>
        </w:rPr>
        <w:instrText xml:space="preserve"> HYPERLINK "http://www2.camara.gov.br/internet/legislacao/legin.html/textos/visualizarTexto.html?ideNorma=593791&amp;seqTexto=118260&amp;PalavrasDestaque=" </w:instrText>
      </w:r>
      <w:r w:rsidRPr="00DF4916">
        <w:rPr>
          <w:rFonts w:ascii="Times New Roman" w:eastAsia="Times New Roman" w:hAnsi="Times New Roman" w:cs="Times New Roman"/>
          <w:i/>
          <w:sz w:val="24"/>
          <w:szCs w:val="20"/>
          <w:lang w:eastAsia="pt-BR"/>
        </w:rPr>
        <w:fldChar w:fldCharType="separate"/>
      </w:r>
      <w:r w:rsidRPr="00DF4916">
        <w:rPr>
          <w:rFonts w:ascii="Times New Roman" w:eastAsia="Times New Roman" w:hAnsi="Times New Roman" w:cs="Times New Roman"/>
          <w:i/>
          <w:color w:val="0000FF"/>
          <w:sz w:val="24"/>
          <w:szCs w:val="20"/>
          <w:u w:val="single"/>
          <w:lang w:eastAsia="pt-BR"/>
        </w:rPr>
        <w:t>convertida na Lei nº 12.096, de 24/11/2009)</w:t>
      </w:r>
    </w:p>
    <w:p w:rsidR="00DF4916" w:rsidRPr="00DF4916" w:rsidRDefault="00DF4916" w:rsidP="00DF4916">
      <w:pPr>
        <w:tabs>
          <w:tab w:val="center" w:pos="4419"/>
          <w:tab w:val="right" w:pos="8838"/>
        </w:tabs>
        <w:ind w:firstLine="1134"/>
        <w:rPr>
          <w:rFonts w:ascii="Times New Roman" w:eastAsia="Times New Roman" w:hAnsi="Times New Roman" w:cs="Times New Roman"/>
          <w:sz w:val="24"/>
          <w:szCs w:val="20"/>
          <w:lang w:eastAsia="pt-BR"/>
        </w:rPr>
      </w:pPr>
      <w:r w:rsidRPr="00DF4916">
        <w:rPr>
          <w:rFonts w:ascii="Times New Roman" w:eastAsia="Times New Roman" w:hAnsi="Times New Roman" w:cs="Times New Roman"/>
          <w:i/>
          <w:sz w:val="24"/>
          <w:szCs w:val="20"/>
          <w:lang w:eastAsia="pt-BR"/>
        </w:rPr>
        <w:fldChar w:fldCharType="end"/>
      </w:r>
      <w:r w:rsidRPr="00DF4916">
        <w:rPr>
          <w:rFonts w:ascii="Times New Roman" w:eastAsia="Times New Roman" w:hAnsi="Times New Roman" w:cs="Times New Roman"/>
          <w:sz w:val="24"/>
          <w:szCs w:val="20"/>
          <w:lang w:eastAsia="pt-BR"/>
        </w:rPr>
        <w:t xml:space="preserve">I - até o montante de R$ 6.000.000.000,00 (seis bilhões de reais), visando ao seu enquadramento como instrumento híbrido de capital e dívida, conforme definido pelo Conselho Monetário Nacional, ficando, neste caso, assegurada ao Tesouro Nacional remuneração compatível com o seu custo de captação; e </w:t>
      </w:r>
      <w:hyperlink r:id="rId12" w:history="1">
        <w:r w:rsidRPr="00DF4916">
          <w:rPr>
            <w:rFonts w:ascii="Times New Roman" w:eastAsia="Times New Roman" w:hAnsi="Times New Roman" w:cs="Times New Roman"/>
            <w:i/>
            <w:color w:val="0000FF"/>
            <w:sz w:val="24"/>
            <w:szCs w:val="20"/>
            <w:u w:val="single"/>
            <w:lang w:eastAsia="pt-BR"/>
          </w:rPr>
          <w:t>(Inciso acrescido pela Medida Provisória nº 465, de 29/6/2009</w:t>
        </w:r>
      </w:hyperlink>
      <w:r w:rsidRPr="00DF4916">
        <w:rPr>
          <w:rFonts w:ascii="Times New Roman" w:eastAsia="Times New Roman" w:hAnsi="Times New Roman" w:cs="Times New Roman"/>
          <w:i/>
          <w:sz w:val="24"/>
          <w:szCs w:val="20"/>
          <w:lang w:eastAsia="pt-BR"/>
        </w:rPr>
        <w:t xml:space="preserve">, </w:t>
      </w:r>
      <w:hyperlink r:id="rId13" w:history="1">
        <w:r w:rsidRPr="00DF4916">
          <w:rPr>
            <w:rFonts w:ascii="Times New Roman" w:eastAsia="Times New Roman" w:hAnsi="Times New Roman" w:cs="Times New Roman"/>
            <w:i/>
            <w:color w:val="0000FF"/>
            <w:sz w:val="24"/>
            <w:szCs w:val="20"/>
            <w:u w:val="single"/>
            <w:lang w:eastAsia="pt-BR"/>
          </w:rPr>
          <w:t>convertida na Lei nº 12.096, de 24/11/2009,</w:t>
        </w:r>
      </w:hyperlink>
      <w:r w:rsidRPr="00DF4916">
        <w:rPr>
          <w:rFonts w:ascii="Times New Roman" w:eastAsia="Times New Roman" w:hAnsi="Times New Roman" w:cs="Times New Roman"/>
          <w:i/>
          <w:sz w:val="24"/>
          <w:szCs w:val="20"/>
          <w:lang w:eastAsia="pt-BR"/>
        </w:rPr>
        <w:t xml:space="preserve"> </w:t>
      </w:r>
      <w:hyperlink r:id="rId14" w:history="1">
        <w:r w:rsidRPr="00DF4916">
          <w:rPr>
            <w:rFonts w:ascii="Times New Roman" w:eastAsia="Times New Roman" w:hAnsi="Times New Roman" w:cs="Times New Roman"/>
            <w:i/>
            <w:color w:val="0000FF"/>
            <w:sz w:val="24"/>
            <w:szCs w:val="20"/>
            <w:u w:val="single"/>
            <w:lang w:eastAsia="pt-BR"/>
          </w:rPr>
          <w:t>com redação dada pela Lei nº 13.043, de 13/11/2014)</w:t>
        </w:r>
      </w:hyperlink>
    </w:p>
    <w:p w:rsidR="00DF4916" w:rsidRPr="00DF4916" w:rsidRDefault="00DF4916" w:rsidP="00DF4916">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DF4916">
        <w:rPr>
          <w:rFonts w:ascii="Times New Roman" w:eastAsia="Times New Roman" w:hAnsi="Times New Roman" w:cs="Times New Roman"/>
          <w:sz w:val="24"/>
          <w:szCs w:val="20"/>
          <w:lang w:eastAsia="pt-BR"/>
        </w:rPr>
        <w:t xml:space="preserve">II - até o montante de R$ 20.000.000.000,00 (vinte bilhões de reais), referente ao crédito concedido ao amparo da Lei nº 11.805, de 6 de novembro de 2008, para alterar a remuneração do Tesouro Nacional para o custo de captação externa, em dólares norte-americanos para prazo equivalente ao do ressarcimento a ser efetuado pelo BNDES à União. </w:t>
      </w:r>
      <w:hyperlink r:id="rId15" w:history="1">
        <w:r w:rsidRPr="00DF4916">
          <w:rPr>
            <w:rFonts w:ascii="Times New Roman" w:eastAsia="Times New Roman" w:hAnsi="Times New Roman" w:cs="Times New Roman"/>
            <w:i/>
            <w:color w:val="0000FF"/>
            <w:sz w:val="24"/>
            <w:szCs w:val="20"/>
            <w:u w:val="single"/>
            <w:lang w:eastAsia="pt-BR"/>
          </w:rPr>
          <w:t>(Inciso acrescido pela Medida Provisória nº 465, de 29/6/2009</w:t>
        </w:r>
      </w:hyperlink>
      <w:r w:rsidRPr="00DF4916">
        <w:rPr>
          <w:rFonts w:ascii="Times New Roman" w:eastAsia="Times New Roman" w:hAnsi="Times New Roman" w:cs="Times New Roman"/>
          <w:i/>
          <w:sz w:val="24"/>
          <w:szCs w:val="20"/>
          <w:lang w:eastAsia="pt-BR"/>
        </w:rPr>
        <w:t xml:space="preserve">, </w:t>
      </w:r>
      <w:r w:rsidRPr="00DF4916">
        <w:rPr>
          <w:rFonts w:ascii="Times New Roman" w:eastAsia="Times New Roman" w:hAnsi="Times New Roman" w:cs="Times New Roman"/>
          <w:i/>
          <w:sz w:val="24"/>
          <w:szCs w:val="20"/>
          <w:lang w:eastAsia="pt-BR"/>
        </w:rPr>
        <w:fldChar w:fldCharType="begin"/>
      </w:r>
      <w:r w:rsidRPr="00DF4916">
        <w:rPr>
          <w:rFonts w:ascii="Times New Roman" w:eastAsia="Times New Roman" w:hAnsi="Times New Roman" w:cs="Times New Roman"/>
          <w:i/>
          <w:sz w:val="24"/>
          <w:szCs w:val="20"/>
          <w:lang w:eastAsia="pt-BR"/>
        </w:rPr>
        <w:instrText xml:space="preserve"> HYPERLINK "http://www2.camara.gov.br/internet/legislacao/legin.html/textos/visualizarTexto.html?ideNorma=593791&amp;seqTexto=118260&amp;PalavrasDestaque=" </w:instrText>
      </w:r>
      <w:r w:rsidRPr="00DF4916">
        <w:rPr>
          <w:rFonts w:ascii="Times New Roman" w:eastAsia="Times New Roman" w:hAnsi="Times New Roman" w:cs="Times New Roman"/>
          <w:i/>
          <w:sz w:val="24"/>
          <w:szCs w:val="20"/>
          <w:lang w:eastAsia="pt-BR"/>
        </w:rPr>
        <w:fldChar w:fldCharType="separate"/>
      </w:r>
      <w:r w:rsidRPr="00DF4916">
        <w:rPr>
          <w:rFonts w:ascii="Times New Roman" w:eastAsia="Times New Roman" w:hAnsi="Times New Roman" w:cs="Times New Roman"/>
          <w:i/>
          <w:color w:val="0000FF"/>
          <w:sz w:val="24"/>
          <w:szCs w:val="20"/>
          <w:u w:val="single"/>
          <w:lang w:eastAsia="pt-BR"/>
        </w:rPr>
        <w:t>convertida na Lei nº 12.096, de 24/11/2009)</w:t>
      </w:r>
    </w:p>
    <w:p w:rsidR="00DF4916" w:rsidRPr="00DF4916" w:rsidRDefault="00DF4916" w:rsidP="00DF4916">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DF4916">
        <w:rPr>
          <w:rFonts w:ascii="Times New Roman" w:eastAsia="Times New Roman" w:hAnsi="Times New Roman" w:cs="Times New Roman"/>
          <w:i/>
          <w:sz w:val="24"/>
          <w:szCs w:val="20"/>
          <w:lang w:eastAsia="pt-BR"/>
        </w:rPr>
        <w:fldChar w:fldCharType="end"/>
      </w:r>
      <w:r w:rsidRPr="00DF4916">
        <w:rPr>
          <w:rFonts w:ascii="Times New Roman" w:eastAsia="Times New Roman" w:hAnsi="Times New Roman" w:cs="Times New Roman"/>
          <w:sz w:val="24"/>
          <w:szCs w:val="20"/>
          <w:lang w:eastAsia="pt-BR"/>
        </w:rPr>
        <w:t xml:space="preserve">Parágrafo único. O disposto no inciso I poderá ser aplicado à parte da dívida que venha a ser constituída nos termos desta Lei. </w:t>
      </w:r>
      <w:hyperlink r:id="rId16" w:history="1">
        <w:r w:rsidRPr="00DF4916">
          <w:rPr>
            <w:rFonts w:ascii="Times New Roman" w:eastAsia="Times New Roman" w:hAnsi="Times New Roman" w:cs="Times New Roman"/>
            <w:i/>
            <w:color w:val="0000FF"/>
            <w:sz w:val="24"/>
            <w:szCs w:val="20"/>
            <w:u w:val="single"/>
            <w:lang w:eastAsia="pt-BR"/>
          </w:rPr>
          <w:t>(Parágrafo único acrescido pela Medida Provisória nº 465, de 29/6/2009</w:t>
        </w:r>
      </w:hyperlink>
      <w:r w:rsidRPr="00DF4916">
        <w:rPr>
          <w:rFonts w:ascii="Times New Roman" w:eastAsia="Times New Roman" w:hAnsi="Times New Roman" w:cs="Times New Roman"/>
          <w:i/>
          <w:sz w:val="24"/>
          <w:szCs w:val="20"/>
          <w:lang w:eastAsia="pt-BR"/>
        </w:rPr>
        <w:t xml:space="preserve">, </w:t>
      </w:r>
      <w:r w:rsidRPr="00DF4916">
        <w:rPr>
          <w:rFonts w:ascii="Times New Roman" w:eastAsia="Times New Roman" w:hAnsi="Times New Roman" w:cs="Times New Roman"/>
          <w:i/>
          <w:sz w:val="24"/>
          <w:szCs w:val="20"/>
          <w:lang w:eastAsia="pt-BR"/>
        </w:rPr>
        <w:fldChar w:fldCharType="begin"/>
      </w:r>
      <w:r w:rsidRPr="00DF4916">
        <w:rPr>
          <w:rFonts w:ascii="Times New Roman" w:eastAsia="Times New Roman" w:hAnsi="Times New Roman" w:cs="Times New Roman"/>
          <w:i/>
          <w:sz w:val="24"/>
          <w:szCs w:val="20"/>
          <w:lang w:eastAsia="pt-BR"/>
        </w:rPr>
        <w:instrText xml:space="preserve"> HYPERLINK "http://www2.camara.gov.br/internet/legislacao/legin.html/textos/visualizarTexto.html?ideNorma=593791&amp;seqTexto=118260&amp;PalavrasDestaque=" </w:instrText>
      </w:r>
      <w:r w:rsidRPr="00DF4916">
        <w:rPr>
          <w:rFonts w:ascii="Times New Roman" w:eastAsia="Times New Roman" w:hAnsi="Times New Roman" w:cs="Times New Roman"/>
          <w:i/>
          <w:sz w:val="24"/>
          <w:szCs w:val="20"/>
          <w:lang w:eastAsia="pt-BR"/>
        </w:rPr>
        <w:fldChar w:fldCharType="separate"/>
      </w:r>
      <w:r w:rsidRPr="00DF4916">
        <w:rPr>
          <w:rFonts w:ascii="Times New Roman" w:eastAsia="Times New Roman" w:hAnsi="Times New Roman" w:cs="Times New Roman"/>
          <w:i/>
          <w:color w:val="0000FF"/>
          <w:sz w:val="24"/>
          <w:szCs w:val="20"/>
          <w:u w:val="single"/>
          <w:lang w:eastAsia="pt-BR"/>
        </w:rPr>
        <w:t>convertida na Lei nº 12.096, de 24/11/2009)</w:t>
      </w:r>
    </w:p>
    <w:p w:rsidR="00DF4916" w:rsidRPr="00DF4916" w:rsidRDefault="00DF4916" w:rsidP="00DF4916">
      <w:pPr>
        <w:jc w:val="left"/>
        <w:rPr>
          <w:rFonts w:ascii="Times New Roman" w:eastAsia="Times New Roman" w:hAnsi="Times New Roman" w:cs="Times New Roman"/>
          <w:sz w:val="24"/>
          <w:szCs w:val="20"/>
          <w:lang w:eastAsia="pt-BR"/>
        </w:rPr>
      </w:pPr>
      <w:r w:rsidRPr="00DF4916">
        <w:rPr>
          <w:rFonts w:ascii="Times New Roman" w:eastAsia="Times New Roman" w:hAnsi="Times New Roman" w:cs="Times New Roman"/>
          <w:i/>
          <w:sz w:val="24"/>
          <w:szCs w:val="20"/>
          <w:lang w:eastAsia="pt-BR"/>
        </w:rPr>
        <w:fldChar w:fldCharType="end"/>
      </w:r>
      <w:r w:rsidRPr="00DF4916">
        <w:rPr>
          <w:rFonts w:ascii="Times New Roman" w:eastAsia="Times New Roman" w:hAnsi="Times New Roman" w:cs="Times New Roman"/>
          <w:sz w:val="24"/>
          <w:szCs w:val="20"/>
          <w:lang w:eastAsia="pt-BR"/>
        </w:rPr>
        <w:t>..............................................................................................................................................................................................................................................................................................................</w:t>
      </w:r>
    </w:p>
    <w:p w:rsidR="00DF4916" w:rsidRDefault="00DF4916" w:rsidP="00DF4916">
      <w:pPr>
        <w:jc w:val="center"/>
        <w:rPr>
          <w:rFonts w:ascii="Times New Roman" w:eastAsia="Times New Roman" w:hAnsi="Times New Roman" w:cs="Times New Roman"/>
          <w:sz w:val="24"/>
          <w:szCs w:val="24"/>
          <w:lang w:eastAsia="pt-BR"/>
        </w:rPr>
      </w:pPr>
    </w:p>
    <w:p w:rsidR="00DF4916" w:rsidRDefault="00DF4916" w:rsidP="00DF4916">
      <w:pPr>
        <w:jc w:val="center"/>
        <w:rPr>
          <w:rFonts w:ascii="Times New Roman" w:eastAsia="Times New Roman" w:hAnsi="Times New Roman" w:cs="Times New Roman"/>
          <w:sz w:val="24"/>
          <w:szCs w:val="24"/>
          <w:lang w:eastAsia="pt-BR"/>
        </w:rPr>
      </w:pPr>
    </w:p>
    <w:p w:rsidR="00DF4916" w:rsidRPr="00DF4916" w:rsidRDefault="00DF4916" w:rsidP="00DF4916">
      <w:pPr>
        <w:jc w:val="center"/>
        <w:rPr>
          <w:rFonts w:ascii="Times New Roman" w:eastAsia="Times New Roman" w:hAnsi="Times New Roman" w:cs="Times New Roman"/>
          <w:b/>
          <w:sz w:val="28"/>
          <w:szCs w:val="28"/>
          <w:lang w:eastAsia="pt-BR"/>
        </w:rPr>
      </w:pPr>
      <w:r w:rsidRPr="00DF4916">
        <w:rPr>
          <w:rFonts w:ascii="Times New Roman" w:eastAsia="Times New Roman" w:hAnsi="Times New Roman" w:cs="Times New Roman"/>
          <w:b/>
          <w:sz w:val="28"/>
          <w:szCs w:val="28"/>
          <w:lang w:eastAsia="pt-BR"/>
        </w:rPr>
        <w:t>PORTARIA INTERMINISTERIAL N.º 2, DE 12 DE MAIO DE 2011</w:t>
      </w:r>
    </w:p>
    <w:p w:rsidR="00DF4916" w:rsidRPr="00DF4916" w:rsidRDefault="00DF4916" w:rsidP="00DF4916">
      <w:pPr>
        <w:rPr>
          <w:rFonts w:ascii="Times New Roman" w:eastAsia="Times New Roman" w:hAnsi="Times New Roman" w:cs="Times New Roman"/>
          <w:sz w:val="24"/>
          <w:szCs w:val="24"/>
          <w:lang w:eastAsia="pt-BR"/>
        </w:rPr>
      </w:pPr>
    </w:p>
    <w:p w:rsidR="00DF4916" w:rsidRPr="00DF4916" w:rsidRDefault="00DF4916" w:rsidP="00DF4916">
      <w:pPr>
        <w:rPr>
          <w:rFonts w:ascii="Times New Roman" w:eastAsia="Times New Roman" w:hAnsi="Times New Roman" w:cs="Times New Roman"/>
          <w:sz w:val="24"/>
          <w:szCs w:val="24"/>
          <w:lang w:eastAsia="pt-BR"/>
        </w:rPr>
      </w:pPr>
    </w:p>
    <w:p w:rsidR="00DF4916" w:rsidRPr="00DF4916" w:rsidRDefault="00DF4916" w:rsidP="00DF4916">
      <w:pPr>
        <w:ind w:left="4536"/>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Enuncia regras sobre o Cadastro de Empregadores que tenham submetido trabalhadores a condições análogas à de escravo e revoga a Portaria MTE nº 540, de 19 de outubro de 2004.</w:t>
      </w:r>
    </w:p>
    <w:p w:rsidR="00DF4916" w:rsidRPr="00DF4916" w:rsidRDefault="00DF4916" w:rsidP="00DF4916">
      <w:pPr>
        <w:rPr>
          <w:rFonts w:ascii="Times New Roman" w:eastAsia="Times New Roman" w:hAnsi="Times New Roman" w:cs="Times New Roman"/>
          <w:sz w:val="24"/>
          <w:szCs w:val="24"/>
          <w:lang w:eastAsia="pt-BR"/>
        </w:rPr>
      </w:pPr>
    </w:p>
    <w:p w:rsidR="00DF4916" w:rsidRPr="00DF4916" w:rsidRDefault="00DF4916" w:rsidP="00DF4916">
      <w:pPr>
        <w:rPr>
          <w:rFonts w:ascii="Times New Roman" w:eastAsia="Times New Roman" w:hAnsi="Times New Roman" w:cs="Times New Roman"/>
          <w:sz w:val="24"/>
          <w:szCs w:val="24"/>
          <w:lang w:eastAsia="pt-BR"/>
        </w:rPr>
      </w:pP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lastRenderedPageBreak/>
        <w:t>O MINISTRO DE ESTADO DO TRABALHO E EMPREGO e a MINISTRA DE ESTADO CHEFE DA SECRETARIA DE DIREITOS HUMANOS DA PRESIDÊNCIA REPÚBLICA, no uso da atribuição que lhes confere o art. 87, parágrafo único, inciso II, e tendo em vista o disposto no art. 186, incisos III e IV, ambos da Constituição Federal de 1988, resolvem:</w:t>
      </w:r>
    </w:p>
    <w:p w:rsidR="00DF4916" w:rsidRPr="00DF4916" w:rsidRDefault="00DF4916" w:rsidP="00DF4916">
      <w:pPr>
        <w:ind w:firstLine="1134"/>
        <w:rPr>
          <w:rFonts w:ascii="Times New Roman" w:eastAsia="Times New Roman" w:hAnsi="Times New Roman" w:cs="Times New Roman"/>
          <w:sz w:val="24"/>
          <w:szCs w:val="24"/>
          <w:lang w:eastAsia="pt-BR"/>
        </w:rPr>
      </w:pP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Art. 1º Manter, no âmbito do Ministério do Trabalho e Emprego - MTE, o Cadastro de Empregadores que tenham submetido trabalhadores a condições análogas à de escravo, originalmente instituído pelas Portarias n.ºs 1.234/2003/MTE e 540/2004/MTE.</w:t>
      </w:r>
    </w:p>
    <w:p w:rsidR="00DF4916" w:rsidRPr="00DF4916" w:rsidRDefault="00DF4916" w:rsidP="00DF4916">
      <w:pPr>
        <w:ind w:firstLine="1134"/>
        <w:rPr>
          <w:rFonts w:ascii="Times New Roman" w:eastAsia="Times New Roman" w:hAnsi="Times New Roman" w:cs="Times New Roman"/>
          <w:sz w:val="24"/>
          <w:szCs w:val="24"/>
          <w:lang w:eastAsia="pt-BR"/>
        </w:rPr>
      </w:pP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Art. 2º A inclusão do nome do infrator no Cadastro ocorrerá após decisão administrativa final relativa ao auto de infração, lavrado em decorrência de ação fiscal, em que tenha havido a identificação de trabalhadores submetidos a condições análogas à de escravo.</w:t>
      </w:r>
    </w:p>
    <w:p w:rsidR="00DF4916" w:rsidRPr="00DF4916" w:rsidRDefault="00DF4916" w:rsidP="00DF4916">
      <w:pPr>
        <w:ind w:firstLine="1134"/>
        <w:rPr>
          <w:rFonts w:ascii="Times New Roman" w:eastAsia="Times New Roman" w:hAnsi="Times New Roman" w:cs="Times New Roman"/>
          <w:sz w:val="24"/>
          <w:szCs w:val="24"/>
          <w:lang w:eastAsia="pt-BR"/>
        </w:rPr>
      </w:pP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Art. 3º O MTE atualizará, semestralmente, o Cadastro a que se refere o art. 1º e dele dará conhecimento aos seguintes órgãos:</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I - Ministério do Meio Ambiente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II - Ministério do Desenvolvimento Agrário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III - Ministério da Integração Nacional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IV - Ministério da Fazenda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V - Ministério Público do Trabalho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VI - Ministério Público Federal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VII - Secretaria Especial dos Direitos Humanos da Presidência da República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VIII - Banco Central do Brasil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IX - Banco Nacional de Desenvolvimento Econômico e Social – BNDES (Acrescentada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X - Banco do Brasil S/A (Acrescentada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XI - Caixa Econômica Federal (Acrescentada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XII - Banco da Amazônia S/A (Acrescentada pela Portaria 496/2005/MTE); 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XIII - Banco do Nordeste do Brasil S/A (Acrescentada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 1º Os órgãos de que tratam os incisos I a XIII deste artigo poderão solicitar informações complementares ou</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cópias de documentos relacionados à ação fiscal que deu origem à inclusão do infrator no Cadastro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 2º À Secretaria de Direitos Humanos da Presidência da República competirá acompanhar, por intermédio da CONATRAE, os procedimentos para inclusão e exclusão de nomes do cadastro de empregadores, bem como fornecer informações à Advocacia-Geral da União nas ações referentes ao cadastro.</w:t>
      </w:r>
    </w:p>
    <w:p w:rsidR="00DF4916" w:rsidRPr="00DF4916" w:rsidRDefault="00DF4916" w:rsidP="00DF4916">
      <w:pPr>
        <w:ind w:firstLine="1134"/>
        <w:rPr>
          <w:rFonts w:ascii="Times New Roman" w:eastAsia="Times New Roman" w:hAnsi="Times New Roman" w:cs="Times New Roman"/>
          <w:sz w:val="24"/>
          <w:szCs w:val="24"/>
          <w:lang w:eastAsia="pt-BR"/>
        </w:rPr>
      </w:pP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Art. 4º A Fiscalização do Trabalho realizará monitoramento pelo período de 2 (dois) anos da data da inclusão do nome do infrator no Cadastro, a fim de verificar a regularidade das condições de trabalho.</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 1º Uma vez expirado o lapso previsto no caput, e não ocorrendo reincidência, a Fiscalização do Trabalho procederá à exclusão do nome do infrator do Cadastro.</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lastRenderedPageBreak/>
        <w:t>§ 2º A exclusão ficará condicionada ao pagamento das multas resultantes da ação fiscal, bem como da comprovação da quitação de eventuais débitos trabalhistas e previdenciários.</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 3º A exclusão do nome do infrator do Cadastro previsto no art. 1º será comunicada aos órgãos arrolados nos incisos do art. 3º (Redação dada pela Portaria 496/2005/MTE).</w:t>
      </w:r>
    </w:p>
    <w:p w:rsidR="00DF4916" w:rsidRPr="00DF4916" w:rsidRDefault="00DF4916" w:rsidP="00DF4916">
      <w:pPr>
        <w:ind w:firstLine="1134"/>
        <w:rPr>
          <w:rFonts w:ascii="Times New Roman" w:eastAsia="Times New Roman" w:hAnsi="Times New Roman" w:cs="Times New Roman"/>
          <w:sz w:val="24"/>
          <w:szCs w:val="24"/>
          <w:lang w:eastAsia="pt-BR"/>
        </w:rPr>
      </w:pP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Art. 5º Revoga-se a Portaria MTE nº 540, de 19 de outubro de 2004. Parágrafo único. A revogação prevista no caput não suspende, interrompe ou extingue os prazos já em curso para exclusão dos nomes já regularmente incluídos no cadastro até a data de publicação desta portaria.</w:t>
      </w:r>
    </w:p>
    <w:p w:rsidR="00DF4916" w:rsidRPr="00DF4916" w:rsidRDefault="00DF4916" w:rsidP="00DF4916">
      <w:pPr>
        <w:ind w:firstLine="1134"/>
        <w:rPr>
          <w:rFonts w:ascii="Times New Roman" w:eastAsia="Times New Roman" w:hAnsi="Times New Roman" w:cs="Times New Roman"/>
          <w:sz w:val="24"/>
          <w:szCs w:val="24"/>
          <w:lang w:eastAsia="pt-BR"/>
        </w:rPr>
      </w:pP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Art. 6º Esta Portaria entra em vigor na data de sua publicação.</w:t>
      </w:r>
    </w:p>
    <w:p w:rsidR="00DF4916" w:rsidRPr="00DF4916" w:rsidRDefault="00DF4916" w:rsidP="00DF4916">
      <w:pPr>
        <w:ind w:firstLine="1134"/>
        <w:rPr>
          <w:rFonts w:ascii="Times New Roman" w:eastAsia="Times New Roman" w:hAnsi="Times New Roman" w:cs="Times New Roman"/>
          <w:sz w:val="24"/>
          <w:szCs w:val="24"/>
          <w:lang w:eastAsia="pt-BR"/>
        </w:rPr>
      </w:pP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CARLOS ROBERTO LUPI</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Ministro de Estado do Trabalho e Emprego</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MARIA DO ROSÁRIO NUNES</w:t>
      </w:r>
    </w:p>
    <w:p w:rsidR="00DF4916" w:rsidRPr="00DF4916" w:rsidRDefault="00DF4916" w:rsidP="00DF4916">
      <w:pPr>
        <w:ind w:firstLine="1134"/>
        <w:rPr>
          <w:rFonts w:ascii="Times New Roman" w:eastAsia="Times New Roman" w:hAnsi="Times New Roman" w:cs="Times New Roman"/>
          <w:sz w:val="24"/>
          <w:szCs w:val="24"/>
          <w:lang w:eastAsia="pt-BR"/>
        </w:rPr>
      </w:pPr>
      <w:r w:rsidRPr="00DF4916">
        <w:rPr>
          <w:rFonts w:ascii="Times New Roman" w:eastAsia="Times New Roman" w:hAnsi="Times New Roman" w:cs="Times New Roman"/>
          <w:sz w:val="24"/>
          <w:szCs w:val="24"/>
          <w:lang w:eastAsia="pt-BR"/>
        </w:rPr>
        <w:t>Ministra de Estado Chefe da Secretaria de Direitos Humanos</w:t>
      </w:r>
    </w:p>
    <w:p w:rsidR="00DF4916" w:rsidRPr="00DF4916" w:rsidRDefault="00DF4916" w:rsidP="00DF4916">
      <w:pPr>
        <w:rPr>
          <w:rFonts w:ascii="Times New Roman" w:eastAsia="Times New Roman" w:hAnsi="Times New Roman" w:cs="Times New Roman"/>
          <w:sz w:val="24"/>
          <w:szCs w:val="24"/>
          <w:lang w:eastAsia="pt-BR"/>
        </w:rPr>
      </w:pPr>
    </w:p>
    <w:p w:rsidR="00DF4916" w:rsidRPr="00DF4916" w:rsidRDefault="00DF4916" w:rsidP="00DF4916">
      <w:pPr>
        <w:jc w:val="left"/>
        <w:rPr>
          <w:rFonts w:ascii="Times New Roman" w:eastAsia="Times New Roman" w:hAnsi="Times New Roman" w:cs="Times New Roman"/>
          <w:szCs w:val="20"/>
          <w:lang w:eastAsia="pt-BR"/>
        </w:rPr>
      </w:pPr>
    </w:p>
    <w:p w:rsidR="00DF4916" w:rsidRPr="00DF4916" w:rsidRDefault="00DF4916" w:rsidP="00DF4916">
      <w:pPr>
        <w:pBdr>
          <w:top w:val="single" w:sz="4" w:space="1" w:color="auto"/>
          <w:left w:val="single" w:sz="4" w:space="4" w:color="auto"/>
          <w:bottom w:val="single" w:sz="4" w:space="1" w:color="auto"/>
          <w:right w:val="single" w:sz="4" w:space="4" w:color="auto"/>
        </w:pBdr>
        <w:jc w:val="center"/>
        <w:rPr>
          <w:b/>
          <w:sz w:val="22"/>
        </w:rPr>
      </w:pPr>
      <w:bookmarkStart w:id="12" w:name="z947737_FIMDOCUMENTO"/>
      <w:bookmarkEnd w:id="1"/>
      <w:bookmarkEnd w:id="11"/>
      <w:r>
        <w:rPr>
          <w:b/>
          <w:sz w:val="22"/>
        </w:rPr>
        <w:t>FIM DO DOCUMENTO</w:t>
      </w:r>
      <w:bookmarkEnd w:id="12"/>
    </w:p>
    <w:sectPr w:rsidR="00DF4916" w:rsidRPr="00DF4916" w:rsidSect="00DF4916">
      <w:headerReference w:type="even" r:id="rId17"/>
      <w:headerReference w:type="default" r:id="rId18"/>
      <w:footerReference w:type="even" r:id="rId19"/>
      <w:footerReference w:type="default" r:id="rId20"/>
      <w:footerReference w:type="first" r:id="rId21"/>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D02" w:rsidRDefault="00262D02" w:rsidP="00DF4916">
      <w:r>
        <w:separator/>
      </w:r>
    </w:p>
  </w:endnote>
  <w:endnote w:type="continuationSeparator" w:id="0">
    <w:p w:rsidR="00262D02" w:rsidRDefault="00262D02" w:rsidP="00DF4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16" w:rsidRDefault="00DF4916" w:rsidP="00DF491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DF4916" w:rsidRDefault="00DF4916" w:rsidP="00DF4916">
    <w:pPr>
      <w:pStyle w:val="Rodap"/>
      <w:jc w:val="center"/>
      <w:rPr>
        <w:rFonts w:ascii="Courier New" w:hAnsi="Courier New" w:cs="Courier New"/>
      </w:rPr>
    </w:pPr>
    <w:r>
      <w:rPr>
        <w:rFonts w:ascii="Courier New" w:hAnsi="Courier New" w:cs="Courier New"/>
      </w:rPr>
      <w:t>CONFERE COM O ORIGINAL AUTENTICADO</w:t>
    </w:r>
  </w:p>
  <w:p w:rsidR="00DF4916" w:rsidRPr="00DF4916" w:rsidRDefault="00DF4916" w:rsidP="00DF4916">
    <w:pPr>
      <w:pStyle w:val="Rodap"/>
      <w:jc w:val="center"/>
    </w:pPr>
    <w:r>
      <w:t>PL 408/2015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16" w:rsidRDefault="00DF4916" w:rsidP="00DF491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DF4916" w:rsidRDefault="00DF4916" w:rsidP="00DF4916">
    <w:pPr>
      <w:pStyle w:val="Rodap"/>
      <w:jc w:val="center"/>
      <w:rPr>
        <w:rFonts w:ascii="Courier New" w:hAnsi="Courier New" w:cs="Courier New"/>
      </w:rPr>
    </w:pPr>
    <w:r>
      <w:rPr>
        <w:rFonts w:ascii="Courier New" w:hAnsi="Courier New" w:cs="Courier New"/>
      </w:rPr>
      <w:t>CONFERE COM O ORIGINAL AUTENTICADO</w:t>
    </w:r>
  </w:p>
  <w:p w:rsidR="00DF4916" w:rsidRPr="00DF4916" w:rsidRDefault="00DF4916" w:rsidP="00DF4916">
    <w:pPr>
      <w:pStyle w:val="Rodap"/>
      <w:jc w:val="center"/>
    </w:pPr>
    <w:r>
      <w:t>PL 408/2015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16" w:rsidRDefault="00DF4916" w:rsidP="00DF491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DF4916" w:rsidRPr="00DF4916" w:rsidRDefault="00DF4916" w:rsidP="00DF4916">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D02" w:rsidRDefault="00262D02" w:rsidP="00DF4916">
      <w:r>
        <w:separator/>
      </w:r>
    </w:p>
  </w:footnote>
  <w:footnote w:type="continuationSeparator" w:id="0">
    <w:p w:rsidR="00262D02" w:rsidRDefault="00262D02" w:rsidP="00DF49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16" w:rsidRPr="00DF4916" w:rsidRDefault="00DF4916" w:rsidP="00DF4916">
    <w:pPr>
      <w:pStyle w:val="Cabealho"/>
      <w:jc w:val="left"/>
    </w:pPr>
    <w:r>
      <w:fldChar w:fldCharType="begin"/>
    </w:r>
    <w:r>
      <w:instrText xml:space="preserve"> PAGE  \* Arabic  \* MERGEFORMAT </w:instrText>
    </w:r>
    <w:r>
      <w:fldChar w:fldCharType="separate"/>
    </w:r>
    <w:r w:rsidR="00CC4E84">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16" w:rsidRPr="00DF4916" w:rsidRDefault="00DF4916" w:rsidP="00DF4916">
    <w:pPr>
      <w:pStyle w:val="Cabealho"/>
      <w:jc w:val="right"/>
    </w:pPr>
    <w:r>
      <w:fldChar w:fldCharType="begin"/>
    </w:r>
    <w:r>
      <w:instrText xml:space="preserve"> PAGE  \* Arabic  \* MERGEFORMAT </w:instrText>
    </w:r>
    <w:r>
      <w:fldChar w:fldCharType="separate"/>
    </w:r>
    <w:r w:rsidR="00CC4E84">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916"/>
    <w:rsid w:val="00262D02"/>
    <w:rsid w:val="003D7B22"/>
    <w:rsid w:val="008C67F5"/>
    <w:rsid w:val="00CC4E84"/>
    <w:rsid w:val="00DF4916"/>
    <w:rsid w:val="00FF55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F4916"/>
    <w:rPr>
      <w:rFonts w:ascii="Tahoma" w:hAnsi="Tahoma" w:cs="Tahoma"/>
      <w:sz w:val="16"/>
      <w:szCs w:val="16"/>
    </w:rPr>
  </w:style>
  <w:style w:type="character" w:customStyle="1" w:styleId="TextodebaloChar">
    <w:name w:val="Texto de balão Char"/>
    <w:basedOn w:val="Fontepargpadro"/>
    <w:link w:val="Textodebalo"/>
    <w:uiPriority w:val="99"/>
    <w:semiHidden/>
    <w:rsid w:val="00DF4916"/>
    <w:rPr>
      <w:rFonts w:ascii="Tahoma" w:hAnsi="Tahoma" w:cs="Tahoma"/>
      <w:sz w:val="16"/>
      <w:szCs w:val="16"/>
    </w:rPr>
  </w:style>
  <w:style w:type="paragraph" w:styleId="Cabealho">
    <w:name w:val="header"/>
    <w:basedOn w:val="Normal"/>
    <w:link w:val="CabealhoChar"/>
    <w:uiPriority w:val="99"/>
    <w:unhideWhenUsed/>
    <w:rsid w:val="00DF4916"/>
    <w:pPr>
      <w:tabs>
        <w:tab w:val="center" w:pos="4252"/>
        <w:tab w:val="right" w:pos="8504"/>
      </w:tabs>
    </w:pPr>
  </w:style>
  <w:style w:type="character" w:customStyle="1" w:styleId="CabealhoChar">
    <w:name w:val="Cabeçalho Char"/>
    <w:basedOn w:val="Fontepargpadro"/>
    <w:link w:val="Cabealho"/>
    <w:uiPriority w:val="99"/>
    <w:rsid w:val="00DF4916"/>
    <w:rPr>
      <w:rFonts w:ascii="Arial" w:hAnsi="Arial" w:cs="Arial"/>
      <w:sz w:val="20"/>
    </w:rPr>
  </w:style>
  <w:style w:type="paragraph" w:styleId="Rodap">
    <w:name w:val="footer"/>
    <w:basedOn w:val="Normal"/>
    <w:link w:val="RodapChar"/>
    <w:uiPriority w:val="99"/>
    <w:unhideWhenUsed/>
    <w:rsid w:val="00DF4916"/>
    <w:pPr>
      <w:tabs>
        <w:tab w:val="center" w:pos="4252"/>
        <w:tab w:val="right" w:pos="8504"/>
      </w:tabs>
    </w:pPr>
  </w:style>
  <w:style w:type="character" w:customStyle="1" w:styleId="RodapChar">
    <w:name w:val="Rodapé Char"/>
    <w:basedOn w:val="Fontepargpadro"/>
    <w:link w:val="Rodap"/>
    <w:uiPriority w:val="99"/>
    <w:rsid w:val="00DF4916"/>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F4916"/>
    <w:rPr>
      <w:rFonts w:ascii="Tahoma" w:hAnsi="Tahoma" w:cs="Tahoma"/>
      <w:sz w:val="16"/>
      <w:szCs w:val="16"/>
    </w:rPr>
  </w:style>
  <w:style w:type="character" w:customStyle="1" w:styleId="TextodebaloChar">
    <w:name w:val="Texto de balão Char"/>
    <w:basedOn w:val="Fontepargpadro"/>
    <w:link w:val="Textodebalo"/>
    <w:uiPriority w:val="99"/>
    <w:semiHidden/>
    <w:rsid w:val="00DF4916"/>
    <w:rPr>
      <w:rFonts w:ascii="Tahoma" w:hAnsi="Tahoma" w:cs="Tahoma"/>
      <w:sz w:val="16"/>
      <w:szCs w:val="16"/>
    </w:rPr>
  </w:style>
  <w:style w:type="paragraph" w:styleId="Cabealho">
    <w:name w:val="header"/>
    <w:basedOn w:val="Normal"/>
    <w:link w:val="CabealhoChar"/>
    <w:uiPriority w:val="99"/>
    <w:unhideWhenUsed/>
    <w:rsid w:val="00DF4916"/>
    <w:pPr>
      <w:tabs>
        <w:tab w:val="center" w:pos="4252"/>
        <w:tab w:val="right" w:pos="8504"/>
      </w:tabs>
    </w:pPr>
  </w:style>
  <w:style w:type="character" w:customStyle="1" w:styleId="CabealhoChar">
    <w:name w:val="Cabeçalho Char"/>
    <w:basedOn w:val="Fontepargpadro"/>
    <w:link w:val="Cabealho"/>
    <w:uiPriority w:val="99"/>
    <w:rsid w:val="00DF4916"/>
    <w:rPr>
      <w:rFonts w:ascii="Arial" w:hAnsi="Arial" w:cs="Arial"/>
      <w:sz w:val="20"/>
    </w:rPr>
  </w:style>
  <w:style w:type="paragraph" w:styleId="Rodap">
    <w:name w:val="footer"/>
    <w:basedOn w:val="Normal"/>
    <w:link w:val="RodapChar"/>
    <w:uiPriority w:val="99"/>
    <w:unhideWhenUsed/>
    <w:rsid w:val="00DF4916"/>
    <w:pPr>
      <w:tabs>
        <w:tab w:val="center" w:pos="4252"/>
        <w:tab w:val="right" w:pos="8504"/>
      </w:tabs>
    </w:pPr>
  </w:style>
  <w:style w:type="character" w:customStyle="1" w:styleId="RodapChar">
    <w:name w:val="Rodapé Char"/>
    <w:basedOn w:val="Fontepargpadro"/>
    <w:link w:val="Rodap"/>
    <w:uiPriority w:val="99"/>
    <w:rsid w:val="00DF4916"/>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1.948-2009?OpenDocument" TargetMode="External"/><Relationship Id="rId13" Type="http://schemas.openxmlformats.org/officeDocument/2006/relationships/hyperlink" Target="http://www2.camara.gov.br/internet/legislacao/legin.html/textos/visualizarTexto.html?ideNorma=593791&amp;seqTexto=118260&amp;PalavrasDestaqu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589124&amp;seqTexto=114025&amp;PalavrasDestaque="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589124&amp;seqTexto=114025&amp;PalavrasDestaque="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589124&amp;seqTexto=114025&amp;PalavrasDestaque=" TargetMode="Externa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589124&amp;seqTexto=114025&amp;PalavrasDestaque=" TargetMode="External"/><Relationship Id="rId23" Type="http://schemas.openxmlformats.org/officeDocument/2006/relationships/theme" Target="theme/theme1.xml"/><Relationship Id="rId10" Type="http://schemas.openxmlformats.org/officeDocument/2006/relationships/hyperlink" Target="http://www2.camara.gov.br/internet/legislacao/legin.html/textos/visualizarTexto.html?ideNorma=589124&amp;seqTexto=114025&amp;PalavrasDestaqu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93791&amp;seqTexto=118260&amp;PalavrasDestaque=" TargetMode="External"/><Relationship Id="rId14" Type="http://schemas.openxmlformats.org/officeDocument/2006/relationships/hyperlink" Target="http://www2.camara.leg.br/legin/fed/lei/2014/lei-13043-13-novembro-2014-779546-publicacaooriginal-145366-pl.html"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2663</Words>
  <Characters>14970</Characters>
  <Application>Microsoft Office Word</Application>
  <DocSecurity>0</DocSecurity>
  <Lines>332</Lines>
  <Paragraphs>115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Luiz Rodrigues Alves de Lima</dc:creator>
  <cp:lastModifiedBy>Câmara dos Deputados</cp:lastModifiedBy>
  <cp:revision>3</cp:revision>
  <dcterms:created xsi:type="dcterms:W3CDTF">2015-03-06T19:05:00Z</dcterms:created>
  <dcterms:modified xsi:type="dcterms:W3CDTF">2015-03-06T20:20:00Z</dcterms:modified>
</cp:coreProperties>
</file>