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CCE" w:rsidRDefault="003B763C" w:rsidP="008C1FDB">
      <w:pPr>
        <w:jc w:val="center"/>
      </w:pPr>
      <w:bookmarkStart w:id="0" w:name="z947808_BRASAO"/>
      <w:bookmarkStart w:id="1" w:name="z947808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763C" w:rsidRPr="003B763C" w:rsidRDefault="003B763C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3B763C">
                              <w:rPr>
                                <w:rFonts w:ascii="3 of 9 Barcode" w:hAnsi="3 of 9 Barcode"/>
                                <w:sz w:val="34"/>
                              </w:rPr>
                              <w:t>*C0051442A*</w:t>
                            </w:r>
                            <w:bookmarkStart w:id="2" w:name="_GoBack"/>
                          </w:p>
                          <w:bookmarkEnd w:id="2"/>
                          <w:p w:rsidR="003B763C" w:rsidRPr="003B763C" w:rsidRDefault="003B763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C0051442A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3B763C" w:rsidRPr="003B763C" w:rsidRDefault="003B763C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3B763C">
                        <w:rPr>
                          <w:rFonts w:ascii="3 of 9 Barcode" w:hAnsi="3 of 9 Barcode"/>
                          <w:sz w:val="34"/>
                        </w:rPr>
                        <w:t>*C0051442A*</w:t>
                      </w:r>
                      <w:bookmarkStart w:id="3" w:name="_GoBack"/>
                    </w:p>
                    <w:bookmarkEnd w:id="3"/>
                    <w:p w:rsidR="003B763C" w:rsidRPr="003B763C" w:rsidRDefault="003B763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C0051442A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C1FDB">
        <w:rPr>
          <w:noProof/>
          <w:lang w:eastAsia="pt-BR"/>
        </w:rPr>
        <w:drawing>
          <wp:inline distT="0" distB="0" distL="0" distR="0" wp14:anchorId="12825532" wp14:editId="2D0B242D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FDB" w:rsidRDefault="008C1FDB" w:rsidP="008C1FD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C1FDB" w:rsidRDefault="008C1FDB" w:rsidP="008C1FDB">
      <w:pPr>
        <w:rPr>
          <w:sz w:val="24"/>
        </w:rPr>
      </w:pPr>
    </w:p>
    <w:p w:rsidR="008C1FDB" w:rsidRDefault="008C1FDB" w:rsidP="008C1FDB">
      <w:pPr>
        <w:keepNext/>
        <w:keepLines/>
        <w:jc w:val="center"/>
        <w:rPr>
          <w:b/>
          <w:sz w:val="44"/>
        </w:rPr>
      </w:pPr>
      <w:bookmarkStart w:id="4" w:name="z947808_TITULO"/>
      <w:r>
        <w:rPr>
          <w:b/>
          <w:sz w:val="44"/>
        </w:rPr>
        <w:t>PROJETO DE LEI N.º 422, DE 2015</w:t>
      </w:r>
      <w:bookmarkEnd w:id="4"/>
    </w:p>
    <w:p w:rsidR="008C1FDB" w:rsidRDefault="008C1FDB" w:rsidP="008C1FDB">
      <w:pPr>
        <w:keepLines/>
        <w:jc w:val="center"/>
        <w:rPr>
          <w:b/>
          <w:sz w:val="28"/>
        </w:rPr>
      </w:pPr>
      <w:bookmarkStart w:id="5" w:name="z947808_AUTOR"/>
      <w:r>
        <w:rPr>
          <w:b/>
          <w:sz w:val="28"/>
        </w:rPr>
        <w:t>(Do Sr. Jorge Solla)</w:t>
      </w:r>
      <w:bookmarkEnd w:id="5"/>
    </w:p>
    <w:p w:rsidR="008C1FDB" w:rsidRDefault="008C1FDB" w:rsidP="008C1FDB">
      <w:pPr>
        <w:keepLines/>
        <w:jc w:val="center"/>
        <w:rPr>
          <w:b/>
          <w:sz w:val="28"/>
        </w:rPr>
      </w:pPr>
    </w:p>
    <w:p w:rsidR="008C1FDB" w:rsidRDefault="008C1FDB" w:rsidP="008C1FDB">
      <w:pPr>
        <w:rPr>
          <w:sz w:val="28"/>
        </w:rPr>
      </w:pPr>
      <w:bookmarkStart w:id="6" w:name="z947808_EMENTA"/>
      <w:r>
        <w:rPr>
          <w:sz w:val="28"/>
        </w:rPr>
        <w:t>Acrescenta art. 17-A à Lei nº 11.340, de 7 de agosto de 2006, que cria mecanismos para coibir a violência doméstica e familiar contra a mulher, para dispor sobre o direito de regresso da Previdência Social perante o agressor.</w:t>
      </w:r>
      <w:bookmarkEnd w:id="6"/>
    </w:p>
    <w:p w:rsidR="008C1FDB" w:rsidRDefault="008C1FDB" w:rsidP="008C1FDB">
      <w:pPr>
        <w:rPr>
          <w:sz w:val="28"/>
        </w:rPr>
      </w:pPr>
    </w:p>
    <w:p w:rsid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808_DESPACHO"/>
    </w:p>
    <w:p w:rsid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PL-290/2015. </w:t>
      </w:r>
    </w:p>
    <w:p w:rsid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808_APRECIACAO"/>
      <w:bookmarkEnd w:id="7"/>
      <w:r>
        <w:rPr>
          <w:b/>
          <w:sz w:val="28"/>
        </w:rPr>
        <w:t>APRECIAÇÃO:</w:t>
      </w:r>
    </w:p>
    <w:p w:rsid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8C1FDB" w:rsidRDefault="008C1FDB" w:rsidP="008C1FDB">
      <w:pPr>
        <w:rPr>
          <w:sz w:val="28"/>
        </w:rPr>
      </w:pPr>
    </w:p>
    <w:p w:rsidR="008C1FDB" w:rsidRDefault="008C1FDB" w:rsidP="008C1FDB">
      <w:pPr>
        <w:jc w:val="center"/>
        <w:rPr>
          <w:b/>
          <w:sz w:val="28"/>
        </w:rPr>
      </w:pPr>
      <w:bookmarkStart w:id="9" w:name="z947808_PUBINICIAL"/>
      <w:r>
        <w:rPr>
          <w:b/>
          <w:sz w:val="28"/>
        </w:rPr>
        <w:t>PUBLICAÇÃO INICIAL</w:t>
      </w:r>
    </w:p>
    <w:p w:rsidR="008C1FDB" w:rsidRDefault="008C1FDB" w:rsidP="008C1FDB">
      <w:pPr>
        <w:jc w:val="center"/>
        <w:rPr>
          <w:b/>
        </w:rPr>
      </w:pPr>
      <w:r>
        <w:rPr>
          <w:b/>
        </w:rPr>
        <w:t>Art. 137, caput - RICD</w:t>
      </w:r>
    </w:p>
    <w:p w:rsidR="008C1FDB" w:rsidRDefault="008C1FDB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  <w:bookmarkStart w:id="10" w:name="z947808_1302998_TEOR"/>
      <w:bookmarkEnd w:id="9"/>
      <w:r w:rsidRPr="008C1FDB">
        <w:rPr>
          <w:rFonts w:eastAsia="Calibri"/>
          <w:color w:val="000000"/>
          <w:sz w:val="24"/>
          <w:szCs w:val="24"/>
        </w:rPr>
        <w:lastRenderedPageBreak/>
        <w:t xml:space="preserve">O Congresso Nacional decreta: </w:t>
      </w:r>
    </w:p>
    <w:p w:rsidR="008C1FDB" w:rsidRPr="008C1FDB" w:rsidRDefault="008C1FDB" w:rsidP="008C1FDB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  <w:r w:rsidRPr="008C1FDB">
        <w:rPr>
          <w:rFonts w:eastAsia="Calibri"/>
          <w:color w:val="000000"/>
          <w:sz w:val="24"/>
          <w:szCs w:val="24"/>
        </w:rPr>
        <w:t xml:space="preserve">Art. 1º A Lei nº 11.340, de 7 de agosto de 2006, passa a vigorar acrescida do seguinte artigo: 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  <w:r w:rsidRPr="008C1FDB">
        <w:rPr>
          <w:rFonts w:eastAsia="Calibri"/>
          <w:color w:val="000000"/>
          <w:sz w:val="24"/>
          <w:szCs w:val="24"/>
        </w:rPr>
        <w:t xml:space="preserve">“Art. 17-A. A sentença condenatória deve determinar ao agressor, como efeito automático, o dever de indenizar a Previdência Social por todos os valores pagos com benefícios de auxílio-doença, aposentadoria por invalidez e pensão por morte, quando concedidos em decorrência de atos de violência doméstica e familiar por ele praticados, independentemente de ajuizamento de ação regressiva.” 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  <w:r w:rsidRPr="008C1FDB">
        <w:rPr>
          <w:rFonts w:eastAsia="Calibri"/>
          <w:color w:val="000000"/>
          <w:sz w:val="24"/>
          <w:szCs w:val="24"/>
        </w:rPr>
        <w:t>Art. 2º Esta Lei entra em vigor na data de sua publicação.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</w:p>
    <w:p w:rsidR="008C1FDB" w:rsidRPr="00BC2A23" w:rsidRDefault="008C1FDB" w:rsidP="008C1FDB">
      <w:pPr>
        <w:autoSpaceDE w:val="0"/>
        <w:autoSpaceDN w:val="0"/>
        <w:adjustRightInd w:val="0"/>
        <w:jc w:val="center"/>
        <w:rPr>
          <w:rFonts w:eastAsia="Calibri"/>
          <w:color w:val="000000"/>
          <w:sz w:val="24"/>
          <w:szCs w:val="28"/>
        </w:rPr>
      </w:pPr>
      <w:r w:rsidRPr="00BC2A23">
        <w:rPr>
          <w:rFonts w:eastAsia="Calibri"/>
          <w:b/>
          <w:bCs/>
          <w:color w:val="000000"/>
          <w:sz w:val="24"/>
          <w:szCs w:val="28"/>
        </w:rPr>
        <w:t>JUSTIFICAÇÃO</w:t>
      </w:r>
    </w:p>
    <w:p w:rsidR="008C1FDB" w:rsidRPr="008C1FDB" w:rsidRDefault="008C1FDB" w:rsidP="008C1FDB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  <w:r w:rsidRPr="008C1FDB">
        <w:rPr>
          <w:rFonts w:eastAsia="Calibri"/>
          <w:color w:val="000000"/>
          <w:sz w:val="24"/>
          <w:szCs w:val="24"/>
        </w:rPr>
        <w:t>A Lei nº 11.340, de 7 de agosto de 2006, conhecida como Lei Maria da Penha, completou 8 anos como símbolo da luta das mulheres contra todas as formas de violência doméstica e familiar.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  <w:r w:rsidRPr="008C1FDB">
        <w:rPr>
          <w:rFonts w:eastAsia="Calibri"/>
          <w:color w:val="000000"/>
          <w:sz w:val="24"/>
          <w:szCs w:val="24"/>
        </w:rPr>
        <w:t>Em 2012 foi instalada a “Comissão Parlamentar Mista de Inquérito da Violência contra a Mulher no Brasil”, que ao fim dos trabalhos divulgou alentado relatório de mais de 1.000 páginas, contendo importantes recomendações aos poderes constituídos.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  <w:r w:rsidRPr="008C1FDB">
        <w:rPr>
          <w:rFonts w:eastAsia="Calibri"/>
          <w:color w:val="000000"/>
          <w:sz w:val="24"/>
          <w:szCs w:val="24"/>
        </w:rPr>
        <w:t>No ano seguinte, a Comissão de Seguridade Social e Família, sob a presidência do Deputado Dr. Rosinha, criou a “Subcomissão Especial para discutir o tema da violência contra a Mulher”, com foco nos estados e regiões não alcançados pelos critérios de prioridade da CPMI. O relatório apresentado - e aprovado pelo colegiado da comissão – também desvelou uma realidade impressionante de violência contra a mulher e a manutenção da impunidade.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  <w:r w:rsidRPr="008C1FDB">
        <w:rPr>
          <w:rFonts w:eastAsia="Calibri"/>
          <w:color w:val="000000"/>
          <w:sz w:val="24"/>
          <w:szCs w:val="24"/>
        </w:rPr>
        <w:t>Sensível ao tema, o Deputado Amauri Teixeira (PT-BA) ofertou a propositura em tela, que tenho a honra de reapresentar.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color w:val="000000"/>
          <w:sz w:val="24"/>
          <w:szCs w:val="24"/>
        </w:rPr>
      </w:pPr>
      <w:r w:rsidRPr="008C1FDB">
        <w:rPr>
          <w:rFonts w:eastAsia="Calibri"/>
          <w:color w:val="000000"/>
          <w:sz w:val="24"/>
          <w:szCs w:val="24"/>
        </w:rPr>
        <w:t>Os atos de violência praticados pelo agressor causam lesões ou sequelas na vítima, podendo culminar até mesmo com a sua morte. Essa realidade tem gerado a concessão de benefícios previdenciários de auxílio-doença, aposentadoria por invalidez e pensão por morte, pagos pelos cofres públicos e custeados por toda a sociedade, de modo solidário, a partir de suas contribuições à seguridade social.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  <w:r w:rsidRPr="008C1FDB">
        <w:rPr>
          <w:rFonts w:eastAsia="Calibri"/>
          <w:sz w:val="24"/>
          <w:szCs w:val="24"/>
        </w:rPr>
        <w:t>Com a finalidade de recuperar os pagamentos efetuados em decorrência de atos de violência doméstica e familiar, o Instituto Nacional do Seguro Social – INSS deu início, em 2012, na data simbólica do aniversário da Lei Maria da Penha, ao ajuizamento de ações regressivas contra os agressores, para que eles venham a restituir o erário, sendo a primeira delas em favor da mulher que inspirou a edição dessa legislação protetiva. A orientação segue os exemplos das ações já propostas nos casos de acidentes de trabalho em empresas e de acidentes de trânsito com vítimas graves.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  <w:r w:rsidRPr="008C1FDB">
        <w:rPr>
          <w:rFonts w:eastAsia="Calibri"/>
          <w:sz w:val="24"/>
          <w:szCs w:val="24"/>
        </w:rPr>
        <w:t xml:space="preserve">Ainda no mesmo mês de agosto de 2012, a Secretaria de Políticas para as Mulheres, o Ministério da Previdência Social, o INSS e o Instituto Maria da Penha foram signatários de um convênio e de um acordo que estabelecem medidas preventivas e repressivas como ações socioeducativas e o ajuizamento de ações regressivas. 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  <w:r w:rsidRPr="008C1FDB">
        <w:rPr>
          <w:rFonts w:eastAsia="Calibri"/>
          <w:sz w:val="24"/>
          <w:szCs w:val="24"/>
        </w:rPr>
        <w:t xml:space="preserve">Nesse contexto, nossa proposta é que o dever de indenizar a Previdência Social, por parte do agressor, seja um efeito automático da sentença condenatória, independentemente de propositura de ação regressiva para veicular judicialmente o pedido. 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  <w:r w:rsidRPr="008C1FDB">
        <w:rPr>
          <w:rFonts w:eastAsia="Calibri"/>
          <w:sz w:val="24"/>
          <w:szCs w:val="24"/>
        </w:rPr>
        <w:t>Acreditamos que a proposta representará significativo avanço no combate aos atos de violência doméstica e familiar, por seu efeito repressivo, moral e pedagógico, além da diminuição nas necessidades de financiamento de uma parcela dos benefícios do Regime Geral de Previdência Social.</w:t>
      </w: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  <w:r w:rsidRPr="008C1FDB">
        <w:rPr>
          <w:rFonts w:eastAsia="Calibri"/>
          <w:sz w:val="24"/>
          <w:szCs w:val="24"/>
        </w:rPr>
        <w:t>Em vista do alcance social desta proposição, contamos desde já com o apoio dos nobres Pares para a sua aprovação.</w:t>
      </w:r>
    </w:p>
    <w:p w:rsidR="008C1FDB" w:rsidRDefault="008C1FDB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</w:p>
    <w:p w:rsidR="00BC2A23" w:rsidRPr="008C1FDB" w:rsidRDefault="00BC2A23" w:rsidP="008C1FDB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  <w:r w:rsidRPr="008C1FDB">
        <w:rPr>
          <w:rFonts w:eastAsia="Calibri"/>
          <w:sz w:val="24"/>
          <w:szCs w:val="24"/>
        </w:rPr>
        <w:t>Sala das Sessões, em</w:t>
      </w:r>
      <w:r w:rsidR="00BC2A23">
        <w:rPr>
          <w:rFonts w:eastAsia="Calibri"/>
          <w:sz w:val="24"/>
          <w:szCs w:val="24"/>
        </w:rPr>
        <w:t xml:space="preserve"> 24 </w:t>
      </w:r>
      <w:r w:rsidRPr="008C1FDB">
        <w:rPr>
          <w:rFonts w:eastAsia="Calibri"/>
          <w:sz w:val="24"/>
          <w:szCs w:val="24"/>
        </w:rPr>
        <w:t>de fevereiro de 2015.</w:t>
      </w:r>
    </w:p>
    <w:p w:rsidR="008C1FDB" w:rsidRPr="008C1FDB" w:rsidRDefault="008C1FDB" w:rsidP="008C1FDB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</w:rPr>
      </w:pPr>
    </w:p>
    <w:p w:rsidR="008C1FDB" w:rsidRPr="008C1FDB" w:rsidRDefault="008C1FDB" w:rsidP="008C1FDB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8C1FDB">
        <w:rPr>
          <w:rFonts w:eastAsia="Calibri"/>
          <w:b/>
          <w:sz w:val="24"/>
          <w:szCs w:val="24"/>
        </w:rPr>
        <w:t>JORGE SOLLA</w:t>
      </w:r>
    </w:p>
    <w:p w:rsidR="008C1FDB" w:rsidRDefault="008C1FDB" w:rsidP="008C1FDB">
      <w:pPr>
        <w:rPr>
          <w:sz w:val="24"/>
        </w:rPr>
      </w:pPr>
    </w:p>
    <w:p w:rsid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7808_LEGISLACAO"/>
      <w:bookmarkEnd w:id="10"/>
      <w:r>
        <w:rPr>
          <w:b/>
          <w:sz w:val="24"/>
        </w:rPr>
        <w:t>LEGISLAÇÃO CITADA ANEXADA PELA</w:t>
      </w:r>
    </w:p>
    <w:p w:rsid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8C1FDB" w:rsidRDefault="008C1FDB" w:rsidP="008C1FDB">
      <w:pPr>
        <w:jc w:val="center"/>
        <w:rPr>
          <w:b/>
          <w:sz w:val="24"/>
        </w:rPr>
      </w:pP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8C1FDB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11.340, DE 7 DE AGOSTO DE 2006</w:t>
      </w: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C1FDB" w:rsidRPr="008C1FDB" w:rsidRDefault="008C1FDB" w:rsidP="008C1FDB">
      <w:pPr>
        <w:tabs>
          <w:tab w:val="center" w:pos="4419"/>
          <w:tab w:val="right" w:pos="8838"/>
        </w:tabs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Cria mecanismos para coibir a violência doméstica e familiar contra a mulher, nos termos do § 8º do art. 226 da Constituição Federal, da Convenção sobre a Eliminação de Todas as Formas de Discriminação contra as Mulheres e da Convenção Interamericana para Prevenir, Punir e Erradicar a Violência contra a Mulher; dispõe sobre a criação dos Juizados de Violência Doméstica e Familiar contra a Mulher; altera o Código de Processo Penal, o Código Penal e a Lei de Execução Penal; e dá outras providências. </w:t>
      </w:r>
    </w:p>
    <w:p w:rsidR="008C1FDB" w:rsidRPr="008C1FDB" w:rsidRDefault="008C1FDB" w:rsidP="008C1FDB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8C1FDB" w:rsidRPr="008C1FDB" w:rsidRDefault="008C1FDB" w:rsidP="008C1FDB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PRESIDENTE DA REPÚBLICA </w:t>
      </w:r>
    </w:p>
    <w:p w:rsidR="008C1FDB" w:rsidRPr="008C1FDB" w:rsidRDefault="008C1FDB" w:rsidP="008C1FDB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8C1FDB" w:rsidRPr="008C1FDB" w:rsidRDefault="008C1FDB" w:rsidP="008C1FDB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8C1FDB" w:rsidRPr="008C1FDB" w:rsidRDefault="008C1FDB" w:rsidP="008C1FDB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>TÍTULO IV</w:t>
      </w: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>DOS PROCEDIMENTOS</w:t>
      </w: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>CAPÍTULO I</w:t>
      </w: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>DISPOSIÇÕES GERAIS</w:t>
      </w:r>
    </w:p>
    <w:p w:rsidR="008C1FDB" w:rsidRPr="008C1FDB" w:rsidRDefault="008C1FDB" w:rsidP="008C1FDB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8C1FDB" w:rsidRPr="008C1FDB" w:rsidRDefault="008C1FDB" w:rsidP="008C1FDB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C1FDB" w:rsidRPr="008C1FDB" w:rsidRDefault="008C1FDB" w:rsidP="008C1FDB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17.  É vedada a aplicação, nos casos de violência doméstica e familiar contra a mulher, de penas de cesta básica ou outras de prestação pecuniária, bem como a substituição de pena que implique o pagamento isolado de multa. </w:t>
      </w:r>
    </w:p>
    <w:p w:rsidR="008C1FDB" w:rsidRPr="008C1FDB" w:rsidRDefault="008C1FDB" w:rsidP="008C1FDB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>CAPÍTULO II</w:t>
      </w: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>DAS MEDIDAS PROTETIVAS DE URGÊNCIA</w:t>
      </w: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Seção I</w:t>
      </w:r>
    </w:p>
    <w:p w:rsidR="008C1FDB" w:rsidRPr="008C1FDB" w:rsidRDefault="008C1FDB" w:rsidP="008C1FDB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Disposições Gerais</w:t>
      </w:r>
    </w:p>
    <w:p w:rsidR="008C1FDB" w:rsidRPr="008C1FDB" w:rsidRDefault="008C1FDB" w:rsidP="008C1FDB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C1FDB" w:rsidRPr="008C1FDB" w:rsidRDefault="008C1FDB" w:rsidP="008C1FDB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18.  Recebido o expediente com o pedido da ofendida, caberá ao juiz, no prazo de 48 (quarenta e oito) horas: </w:t>
      </w:r>
    </w:p>
    <w:p w:rsidR="008C1FDB" w:rsidRPr="008C1FDB" w:rsidRDefault="008C1FDB" w:rsidP="008C1FDB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conhecer do expediente e do pedido e decidir sobre as medidas protetivas de urgência; </w:t>
      </w:r>
    </w:p>
    <w:p w:rsidR="008C1FDB" w:rsidRPr="008C1FDB" w:rsidRDefault="008C1FDB" w:rsidP="008C1FDB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determinar o encaminhamento da ofendida ao órgão de assistência judiciária, quando for o caso; </w:t>
      </w:r>
    </w:p>
    <w:p w:rsidR="008C1FDB" w:rsidRPr="008C1FDB" w:rsidRDefault="008C1FDB" w:rsidP="008C1FDB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comunicar ao Ministério Público para que adote as providências cabíveis. </w:t>
      </w:r>
    </w:p>
    <w:p w:rsidR="008C1FDB" w:rsidRPr="008C1FDB" w:rsidRDefault="008C1FDB" w:rsidP="008C1FDB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C1FDB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C1FDB" w:rsidRPr="008C1FDB" w:rsidRDefault="008C1FDB" w:rsidP="008C1FDB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8C1FDB" w:rsidRDefault="008C1FDB" w:rsidP="008C1FDB">
      <w:pPr>
        <w:jc w:val="center"/>
        <w:rPr>
          <w:b/>
          <w:sz w:val="24"/>
        </w:rPr>
      </w:pPr>
      <w:bookmarkStart w:id="12" w:name="z947808_FIMDOCUMENTO"/>
      <w:bookmarkEnd w:id="1"/>
      <w:bookmarkEnd w:id="11"/>
    </w:p>
    <w:p w:rsidR="008C1FDB" w:rsidRPr="008C1FDB" w:rsidRDefault="008C1FDB" w:rsidP="008C1F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C1FDB" w:rsidRPr="008C1FDB" w:rsidSect="008C1FD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E5C" w:rsidRDefault="00D63E5C" w:rsidP="008C1FDB">
      <w:r>
        <w:separator/>
      </w:r>
    </w:p>
  </w:endnote>
  <w:endnote w:type="continuationSeparator" w:id="0">
    <w:p w:rsidR="00D63E5C" w:rsidRDefault="00D63E5C" w:rsidP="008C1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FDB" w:rsidRDefault="008C1FDB" w:rsidP="008C1FD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C1FDB" w:rsidRDefault="008C1FDB" w:rsidP="008C1FD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C1FDB" w:rsidRPr="008C1FDB" w:rsidRDefault="008C1FDB" w:rsidP="008C1FDB">
    <w:pPr>
      <w:pStyle w:val="Rodap"/>
      <w:jc w:val="center"/>
    </w:pPr>
    <w:r>
      <w:t>PL 422/2015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FDB" w:rsidRDefault="008C1FDB" w:rsidP="008C1FD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C1FDB" w:rsidRDefault="008C1FDB" w:rsidP="008C1FD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C1FDB" w:rsidRPr="008C1FDB" w:rsidRDefault="008C1FDB" w:rsidP="008C1FDB">
    <w:pPr>
      <w:pStyle w:val="Rodap"/>
      <w:jc w:val="center"/>
    </w:pPr>
    <w:r>
      <w:t>PL 422/2015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FDB" w:rsidRDefault="008C1FDB" w:rsidP="008C1FD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C1FDB" w:rsidRPr="008C1FDB" w:rsidRDefault="008C1FDB" w:rsidP="008C1FD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E5C" w:rsidRDefault="00D63E5C" w:rsidP="008C1FDB">
      <w:r>
        <w:separator/>
      </w:r>
    </w:p>
  </w:footnote>
  <w:footnote w:type="continuationSeparator" w:id="0">
    <w:p w:rsidR="00D63E5C" w:rsidRDefault="00D63E5C" w:rsidP="008C1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FDB" w:rsidRPr="008C1FDB" w:rsidRDefault="008C1FDB" w:rsidP="008C1FD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B763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FDB" w:rsidRPr="008C1FDB" w:rsidRDefault="008C1FDB" w:rsidP="008C1FD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B763C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FDB"/>
    <w:rsid w:val="002969D1"/>
    <w:rsid w:val="003B763C"/>
    <w:rsid w:val="004B3CCE"/>
    <w:rsid w:val="008C1FDB"/>
    <w:rsid w:val="00BC2A23"/>
    <w:rsid w:val="00D6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C1F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FD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C1F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1FD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C1F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1FDB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C1F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FD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C1F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1FD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C1F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1FD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896</Words>
  <Characters>5275</Characters>
  <Application>Microsoft Office Word</Application>
  <DocSecurity>0</DocSecurity>
  <Lines>150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2015-03-04T19:23:00Z</cp:lastPrinted>
  <dcterms:created xsi:type="dcterms:W3CDTF">2015-03-05T19:09:00Z</dcterms:created>
  <dcterms:modified xsi:type="dcterms:W3CDTF">2015-03-05T21:29:00Z</dcterms:modified>
</cp:coreProperties>
</file>