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E96" w:rsidRDefault="008B386D" w:rsidP="00E16E96">
      <w:pPr>
        <w:jc w:val="center"/>
      </w:pPr>
      <w:bookmarkStart w:id="0" w:name="z944747_BRASAO"/>
      <w:bookmarkStart w:id="1" w:name="z944747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8B386D" w:rsidRPr="008B386D" w:rsidRDefault="008B386D">
                            <w:pPr>
                              <w:rPr>
                                <w:rFonts w:ascii="Times New Roman" w:hAnsi="Times New Roman" w:cs="Times New Roman"/>
                                <w:sz w:val="34"/>
                              </w:rPr>
                            </w:pPr>
                            <w:r w:rsidRPr="008B386D">
                              <w:rPr>
                                <w:rFonts w:ascii="3 of 9 Barcode" w:hAnsi="3 of 9 Barcode"/>
                                <w:sz w:val="34"/>
                              </w:rPr>
                              <w:t>*C0051388A*</w:t>
                            </w:r>
                            <w:bookmarkStart w:id="2" w:name="_GoBack"/>
                          </w:p>
                          <w:bookmarkEnd w:id="2"/>
                          <w:p w:rsidR="008B386D" w:rsidRPr="008B386D" w:rsidRDefault="008B386D">
                            <w:pPr>
                              <w:rPr>
                                <w:rFonts w:ascii="Times New Roman" w:hAnsi="Times New Roman" w:cs="Times New Roman"/>
                              </w:rPr>
                            </w:pPr>
                            <w:r>
                              <w:rPr>
                                <w:rFonts w:ascii="Times New Roman" w:hAnsi="Times New Roman" w:cs="Times New Roman"/>
                              </w:rPr>
                              <w:t>C0051388A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8B386D" w:rsidRPr="008B386D" w:rsidRDefault="008B386D">
                      <w:pPr>
                        <w:rPr>
                          <w:rFonts w:ascii="Times New Roman" w:hAnsi="Times New Roman" w:cs="Times New Roman"/>
                          <w:sz w:val="34"/>
                        </w:rPr>
                      </w:pPr>
                      <w:r w:rsidRPr="008B386D">
                        <w:rPr>
                          <w:rFonts w:ascii="3 of 9 Barcode" w:hAnsi="3 of 9 Barcode"/>
                          <w:sz w:val="34"/>
                        </w:rPr>
                        <w:t>*C0051388A*</w:t>
                      </w:r>
                      <w:bookmarkStart w:id="3" w:name="_GoBack"/>
                    </w:p>
                    <w:bookmarkEnd w:id="3"/>
                    <w:p w:rsidR="008B386D" w:rsidRPr="008B386D" w:rsidRDefault="008B386D">
                      <w:pPr>
                        <w:rPr>
                          <w:rFonts w:ascii="Times New Roman" w:hAnsi="Times New Roman" w:cs="Times New Roman"/>
                        </w:rPr>
                      </w:pPr>
                      <w:r>
                        <w:rPr>
                          <w:rFonts w:ascii="Times New Roman" w:hAnsi="Times New Roman" w:cs="Times New Roman"/>
                        </w:rPr>
                        <w:t>C0051388A</w:t>
                      </w:r>
                    </w:p>
                  </w:txbxContent>
                </v:textbox>
                <w10:wrap anchorx="page" anchory="page"/>
              </v:shape>
            </w:pict>
          </mc:Fallback>
        </mc:AlternateContent>
      </w:r>
      <w:r w:rsidR="00E16E96">
        <w:rPr>
          <w:noProof/>
          <w:lang w:eastAsia="pt-BR"/>
        </w:rPr>
        <w:drawing>
          <wp:inline distT="0" distB="0" distL="0" distR="0" wp14:anchorId="0E617176" wp14:editId="4B4A70D7">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E16E96" w:rsidRDefault="00E16E96" w:rsidP="00E16E96">
      <w:pPr>
        <w:jc w:val="center"/>
        <w:rPr>
          <w:b/>
          <w:sz w:val="24"/>
        </w:rPr>
      </w:pPr>
      <w:r>
        <w:rPr>
          <w:b/>
          <w:sz w:val="24"/>
        </w:rPr>
        <w:t>CÂMARA DOS DEPUTADOS</w:t>
      </w:r>
    </w:p>
    <w:bookmarkEnd w:id="0"/>
    <w:p w:rsidR="00E16E96" w:rsidRDefault="00E16E96" w:rsidP="00E16E96">
      <w:pPr>
        <w:rPr>
          <w:sz w:val="24"/>
        </w:rPr>
      </w:pPr>
    </w:p>
    <w:p w:rsidR="00E16E96" w:rsidRPr="00E16E96" w:rsidRDefault="00E16E96" w:rsidP="00E16E96">
      <w:pPr>
        <w:keepNext/>
        <w:keepLines/>
        <w:jc w:val="center"/>
        <w:rPr>
          <w:b/>
          <w:sz w:val="44"/>
        </w:rPr>
      </w:pPr>
      <w:bookmarkStart w:id="4" w:name="z944747_TITULO"/>
      <w:r>
        <w:rPr>
          <w:b/>
          <w:sz w:val="44"/>
        </w:rPr>
        <w:t>PROJETO DE LEI COMPLEMENTAR N.º 3, DE 2015</w:t>
      </w:r>
      <w:bookmarkEnd w:id="4"/>
    </w:p>
    <w:p w:rsidR="00E16E96" w:rsidRDefault="00E16E96" w:rsidP="00E16E96">
      <w:pPr>
        <w:keepLines/>
        <w:jc w:val="center"/>
        <w:rPr>
          <w:b/>
          <w:sz w:val="28"/>
        </w:rPr>
      </w:pPr>
      <w:bookmarkStart w:id="5" w:name="z944747_AUTOR"/>
      <w:r>
        <w:rPr>
          <w:b/>
          <w:sz w:val="28"/>
        </w:rPr>
        <w:t>(Do Sr. Pompeo de Mattos)</w:t>
      </w:r>
      <w:bookmarkEnd w:id="5"/>
    </w:p>
    <w:p w:rsidR="00E16E96" w:rsidRDefault="00E16E96" w:rsidP="00E16E96">
      <w:pPr>
        <w:keepLines/>
        <w:jc w:val="center"/>
        <w:rPr>
          <w:b/>
          <w:sz w:val="28"/>
        </w:rPr>
      </w:pPr>
    </w:p>
    <w:p w:rsidR="00E16E96" w:rsidRDefault="00E16E96" w:rsidP="00E16E96">
      <w:pPr>
        <w:rPr>
          <w:sz w:val="28"/>
        </w:rPr>
      </w:pPr>
      <w:bookmarkStart w:id="6" w:name="z944747_EMENTA"/>
      <w:r>
        <w:rPr>
          <w:sz w:val="28"/>
        </w:rPr>
        <w:t>Dá nova redação à alínea e do inciso I do art. 1º da Lei Complementar nº 64, de 18 de maio de 1990, que "estabelece, de acordo com o art. 14, § 9º da Constituição Federal, casos de inelegibilidade, prazos de cessação, e determina outras providências."</w:t>
      </w:r>
      <w:bookmarkEnd w:id="6"/>
    </w:p>
    <w:p w:rsidR="00E16E96" w:rsidRDefault="00E16E96" w:rsidP="00E16E96">
      <w:pPr>
        <w:rPr>
          <w:sz w:val="28"/>
        </w:rPr>
      </w:pPr>
    </w:p>
    <w:p w:rsidR="00E16E96" w:rsidRDefault="00E16E96" w:rsidP="00E16E96">
      <w:pPr>
        <w:pBdr>
          <w:top w:val="single" w:sz="4" w:space="1" w:color="auto"/>
          <w:left w:val="single" w:sz="4" w:space="4" w:color="auto"/>
          <w:bottom w:val="single" w:sz="4" w:space="1" w:color="auto"/>
          <w:right w:val="single" w:sz="4" w:space="4" w:color="auto"/>
        </w:pBdr>
        <w:rPr>
          <w:b/>
          <w:sz w:val="28"/>
        </w:rPr>
      </w:pPr>
      <w:bookmarkStart w:id="7" w:name="z944747_DESPACHO"/>
    </w:p>
    <w:p w:rsidR="00E16E96" w:rsidRDefault="00E16E96" w:rsidP="00E16E96">
      <w:pPr>
        <w:pBdr>
          <w:top w:val="single" w:sz="4" w:space="1" w:color="auto"/>
          <w:left w:val="single" w:sz="4" w:space="4" w:color="auto"/>
          <w:bottom w:val="single" w:sz="4" w:space="1" w:color="auto"/>
          <w:right w:val="single" w:sz="4" w:space="4" w:color="auto"/>
        </w:pBdr>
        <w:rPr>
          <w:b/>
          <w:sz w:val="28"/>
        </w:rPr>
      </w:pPr>
      <w:r>
        <w:rPr>
          <w:b/>
          <w:sz w:val="28"/>
        </w:rPr>
        <w:t>DESPACHO:</w:t>
      </w:r>
    </w:p>
    <w:p w:rsidR="00E16E96" w:rsidRDefault="00E16E96" w:rsidP="00E16E96">
      <w:pPr>
        <w:pBdr>
          <w:top w:val="single" w:sz="4" w:space="1" w:color="auto"/>
          <w:left w:val="single" w:sz="4" w:space="4" w:color="auto"/>
          <w:bottom w:val="single" w:sz="4" w:space="1" w:color="auto"/>
          <w:right w:val="single" w:sz="4" w:space="4" w:color="auto"/>
        </w:pBdr>
        <w:rPr>
          <w:sz w:val="28"/>
        </w:rPr>
      </w:pPr>
      <w:r>
        <w:rPr>
          <w:sz w:val="28"/>
        </w:rPr>
        <w:t xml:space="preserve">APENSE-SE À(AO) PLP-20/2007. </w:t>
      </w:r>
    </w:p>
    <w:p w:rsidR="00E16E96" w:rsidRDefault="00E16E96" w:rsidP="00E16E96">
      <w:pPr>
        <w:pBdr>
          <w:top w:val="single" w:sz="4" w:space="1" w:color="auto"/>
          <w:left w:val="single" w:sz="4" w:space="4" w:color="auto"/>
          <w:bottom w:val="single" w:sz="4" w:space="1" w:color="auto"/>
          <w:right w:val="single" w:sz="4" w:space="4" w:color="auto"/>
        </w:pBdr>
        <w:rPr>
          <w:sz w:val="28"/>
        </w:rPr>
      </w:pPr>
    </w:p>
    <w:p w:rsidR="00E16E96" w:rsidRDefault="00E16E96" w:rsidP="00E16E96">
      <w:pPr>
        <w:pBdr>
          <w:top w:val="single" w:sz="4" w:space="1" w:color="auto"/>
          <w:left w:val="single" w:sz="4" w:space="4" w:color="auto"/>
          <w:bottom w:val="single" w:sz="4" w:space="1" w:color="auto"/>
          <w:right w:val="single" w:sz="4" w:space="4" w:color="auto"/>
        </w:pBdr>
        <w:rPr>
          <w:b/>
          <w:sz w:val="28"/>
        </w:rPr>
      </w:pPr>
      <w:bookmarkStart w:id="8" w:name="z944747_APRECIACAO"/>
      <w:bookmarkEnd w:id="7"/>
      <w:r>
        <w:rPr>
          <w:b/>
          <w:sz w:val="28"/>
        </w:rPr>
        <w:t>APRECIAÇÃO:</w:t>
      </w:r>
    </w:p>
    <w:p w:rsidR="00E16E96" w:rsidRDefault="00E16E96" w:rsidP="00E16E96">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E16E96" w:rsidRDefault="00E16E96" w:rsidP="00E16E96">
      <w:pPr>
        <w:pBdr>
          <w:top w:val="single" w:sz="4" w:space="1" w:color="auto"/>
          <w:left w:val="single" w:sz="4" w:space="4" w:color="auto"/>
          <w:bottom w:val="single" w:sz="4" w:space="1" w:color="auto"/>
          <w:right w:val="single" w:sz="4" w:space="4" w:color="auto"/>
        </w:pBdr>
        <w:rPr>
          <w:sz w:val="28"/>
        </w:rPr>
      </w:pPr>
    </w:p>
    <w:bookmarkEnd w:id="8"/>
    <w:p w:rsidR="00E16E96" w:rsidRDefault="00E16E96" w:rsidP="00E16E96">
      <w:pPr>
        <w:rPr>
          <w:sz w:val="28"/>
        </w:rPr>
      </w:pPr>
    </w:p>
    <w:p w:rsidR="00E16E96" w:rsidRDefault="00E16E96" w:rsidP="00E16E96">
      <w:pPr>
        <w:jc w:val="center"/>
        <w:rPr>
          <w:b/>
          <w:sz w:val="28"/>
        </w:rPr>
      </w:pPr>
      <w:bookmarkStart w:id="9" w:name="z944747_PUBINICIAL"/>
      <w:r>
        <w:rPr>
          <w:b/>
          <w:sz w:val="28"/>
        </w:rPr>
        <w:t>PUBLICAÇÃO INICIAL</w:t>
      </w:r>
    </w:p>
    <w:p w:rsidR="00E16E96" w:rsidRDefault="00E16E96" w:rsidP="00E16E96">
      <w:pPr>
        <w:jc w:val="center"/>
        <w:rPr>
          <w:b/>
        </w:rPr>
      </w:pPr>
      <w:r>
        <w:rPr>
          <w:b/>
        </w:rPr>
        <w:t>Art. 137, caput - RICD</w:t>
      </w:r>
    </w:p>
    <w:p w:rsidR="00E16E96" w:rsidRDefault="00E16E96" w:rsidP="00E16E96">
      <w:pPr>
        <w:rPr>
          <w:b/>
        </w:rPr>
      </w:pPr>
      <w:r>
        <w:rPr>
          <w:b/>
        </w:rPr>
        <w:br w:type="page"/>
      </w:r>
    </w:p>
    <w:bookmarkEnd w:id="9"/>
    <w:p w:rsidR="00E16E96" w:rsidRDefault="00E16E96" w:rsidP="00E16E96">
      <w:pPr>
        <w:rPr>
          <w:b/>
        </w:rPr>
      </w:pPr>
    </w:p>
    <w:p w:rsidR="00E16E96" w:rsidRPr="00612B42" w:rsidRDefault="00E16E96" w:rsidP="00E16E96">
      <w:pPr>
        <w:widowControl w:val="0"/>
        <w:suppressAutoHyphens/>
        <w:spacing w:before="120" w:after="120"/>
        <w:ind w:firstLine="709"/>
        <w:jc w:val="left"/>
        <w:rPr>
          <w:rFonts w:eastAsia="Arial Unicode MS"/>
          <w:snapToGrid w:val="0"/>
          <w:sz w:val="24"/>
        </w:rPr>
      </w:pPr>
      <w:bookmarkStart w:id="10" w:name="z944747_1296826_TEOR"/>
      <w:r w:rsidRPr="00612B42">
        <w:rPr>
          <w:rFonts w:eastAsia="Arial Unicode MS"/>
          <w:snapToGrid w:val="0"/>
          <w:sz w:val="24"/>
        </w:rPr>
        <w:t>O Congresso Nacional decreta:</w:t>
      </w:r>
    </w:p>
    <w:p w:rsidR="00E16E96" w:rsidRPr="00612B42" w:rsidRDefault="00E16E96" w:rsidP="00E16E96">
      <w:pPr>
        <w:widowControl w:val="0"/>
        <w:suppressAutoHyphens/>
        <w:spacing w:after="120"/>
        <w:ind w:firstLine="1418"/>
        <w:jc w:val="left"/>
        <w:rPr>
          <w:rFonts w:eastAsia="Arial Unicode MS"/>
          <w:snapToGrid w:val="0"/>
          <w:sz w:val="24"/>
        </w:rPr>
      </w:pPr>
    </w:p>
    <w:p w:rsidR="00E16E96" w:rsidRPr="00612B42" w:rsidRDefault="00E16E96" w:rsidP="00E16E96">
      <w:pPr>
        <w:spacing w:after="200" w:line="360" w:lineRule="exact"/>
        <w:ind w:firstLine="851"/>
        <w:rPr>
          <w:rFonts w:eastAsia="Times New Roman" w:cs="Times New Roman"/>
          <w:snapToGrid w:val="0"/>
          <w:color w:val="000000"/>
          <w:sz w:val="24"/>
          <w:szCs w:val="20"/>
          <w:lang w:eastAsia="pt-BR"/>
        </w:rPr>
      </w:pPr>
      <w:r w:rsidRPr="00612B42">
        <w:rPr>
          <w:rFonts w:eastAsia="Times New Roman" w:cs="Times New Roman"/>
          <w:snapToGrid w:val="0"/>
          <w:color w:val="000000"/>
          <w:sz w:val="24"/>
          <w:szCs w:val="20"/>
          <w:lang w:eastAsia="pt-BR"/>
        </w:rPr>
        <w:t xml:space="preserve">Art. 1º A alínea </w:t>
      </w:r>
      <w:r w:rsidRPr="00612B42">
        <w:rPr>
          <w:rFonts w:eastAsia="Times New Roman" w:cs="Times New Roman"/>
          <w:i/>
          <w:snapToGrid w:val="0"/>
          <w:color w:val="000000"/>
          <w:sz w:val="24"/>
          <w:szCs w:val="20"/>
          <w:lang w:eastAsia="pt-BR"/>
        </w:rPr>
        <w:t>e</w:t>
      </w:r>
      <w:r w:rsidRPr="00612B42">
        <w:rPr>
          <w:rFonts w:eastAsia="Times New Roman" w:cs="Times New Roman"/>
          <w:snapToGrid w:val="0"/>
          <w:color w:val="000000"/>
          <w:sz w:val="24"/>
          <w:szCs w:val="20"/>
          <w:lang w:eastAsia="pt-BR"/>
        </w:rPr>
        <w:t xml:space="preserve"> do inciso I do art. 1º da Lei Complementar nº 64, de 18 de maio de 1990, passa a vigorar com a seguinte redação;</w:t>
      </w:r>
    </w:p>
    <w:p w:rsidR="00E16E96" w:rsidRPr="00612B42" w:rsidRDefault="00E16E96" w:rsidP="00E16E96">
      <w:pPr>
        <w:spacing w:after="120" w:line="360" w:lineRule="exact"/>
        <w:ind w:firstLine="851"/>
        <w:rPr>
          <w:rFonts w:eastAsia="Times New Roman" w:cs="Times New Roman"/>
          <w:snapToGrid w:val="0"/>
          <w:color w:val="000000"/>
          <w:sz w:val="24"/>
          <w:szCs w:val="20"/>
          <w:lang w:eastAsia="pt-BR"/>
        </w:rPr>
      </w:pPr>
      <w:r w:rsidRPr="00612B42">
        <w:rPr>
          <w:rFonts w:eastAsia="Times New Roman" w:cs="Times New Roman"/>
          <w:snapToGrid w:val="0"/>
          <w:color w:val="000000"/>
          <w:sz w:val="24"/>
          <w:szCs w:val="20"/>
          <w:lang w:eastAsia="pt-BR"/>
        </w:rPr>
        <w:t>“Art. 1º ...............................................................</w:t>
      </w:r>
    </w:p>
    <w:p w:rsidR="00E16E96" w:rsidRPr="00612B42" w:rsidRDefault="00E16E96" w:rsidP="00E16E96">
      <w:pPr>
        <w:spacing w:after="120" w:line="360" w:lineRule="exact"/>
        <w:ind w:firstLine="851"/>
        <w:rPr>
          <w:rFonts w:eastAsia="Times New Roman" w:cs="Times New Roman"/>
          <w:snapToGrid w:val="0"/>
          <w:color w:val="000000"/>
          <w:sz w:val="24"/>
          <w:szCs w:val="20"/>
          <w:lang w:eastAsia="pt-BR"/>
        </w:rPr>
      </w:pPr>
      <w:r w:rsidRPr="00612B42">
        <w:rPr>
          <w:rFonts w:eastAsia="Times New Roman" w:cs="Times New Roman"/>
          <w:snapToGrid w:val="0"/>
          <w:color w:val="000000"/>
          <w:sz w:val="24"/>
          <w:szCs w:val="20"/>
          <w:lang w:eastAsia="pt-BR"/>
        </w:rPr>
        <w:t>I – .......................................................................</w:t>
      </w:r>
    </w:p>
    <w:p w:rsidR="00E16E96" w:rsidRPr="00612B42" w:rsidRDefault="00E16E96" w:rsidP="00E16E96">
      <w:pPr>
        <w:spacing w:after="120" w:line="360" w:lineRule="exact"/>
        <w:ind w:firstLine="851"/>
        <w:rPr>
          <w:rFonts w:eastAsia="Times New Roman" w:cs="Times New Roman"/>
          <w:snapToGrid w:val="0"/>
          <w:color w:val="000000"/>
          <w:sz w:val="24"/>
          <w:szCs w:val="20"/>
          <w:lang w:eastAsia="pt-BR"/>
        </w:rPr>
      </w:pPr>
      <w:r w:rsidRPr="00612B42">
        <w:rPr>
          <w:rFonts w:eastAsia="Times New Roman" w:cs="Times New Roman"/>
          <w:snapToGrid w:val="0"/>
          <w:color w:val="000000"/>
          <w:sz w:val="24"/>
          <w:szCs w:val="20"/>
          <w:lang w:eastAsia="pt-BR"/>
        </w:rPr>
        <w:t>............................................................................</w:t>
      </w:r>
    </w:p>
    <w:p w:rsidR="00E16E96" w:rsidRPr="00612B42" w:rsidRDefault="00E16E96" w:rsidP="00E16E96">
      <w:pPr>
        <w:spacing w:after="120" w:line="360" w:lineRule="exact"/>
        <w:ind w:firstLine="851"/>
        <w:rPr>
          <w:rFonts w:eastAsia="Times New Roman" w:cs="Times New Roman"/>
          <w:snapToGrid w:val="0"/>
          <w:color w:val="000000"/>
          <w:sz w:val="24"/>
          <w:szCs w:val="20"/>
          <w:lang w:eastAsia="pt-BR"/>
        </w:rPr>
      </w:pPr>
      <w:r w:rsidRPr="00612B42">
        <w:rPr>
          <w:rFonts w:eastAsia="Times New Roman" w:cs="Times New Roman"/>
          <w:i/>
          <w:snapToGrid w:val="0"/>
          <w:color w:val="000000"/>
          <w:sz w:val="24"/>
          <w:szCs w:val="20"/>
          <w:lang w:eastAsia="pt-BR"/>
        </w:rPr>
        <w:t>e</w:t>
      </w:r>
      <w:r w:rsidRPr="00612B42">
        <w:rPr>
          <w:rFonts w:eastAsia="Times New Roman" w:cs="Times New Roman"/>
          <w:snapToGrid w:val="0"/>
          <w:color w:val="000000"/>
          <w:sz w:val="24"/>
          <w:szCs w:val="20"/>
          <w:lang w:eastAsia="pt-BR"/>
        </w:rPr>
        <w:t>) os que forem condenados criminalmente, com sentença transitada em julgado, pela prática de crime contra a economia popular, a fé pública, a administração pública, o patrimônio público, o mercado financeiro, pelo tráfico de entorpecentes e por crimes eleitorais, bem como o respectivo cônjuge e parentes, consangüíneos ou afins, até o segundo grau ou por adoção, pelo prazo de 3 (três) anos, após o cumprimento da pena;</w:t>
      </w:r>
    </w:p>
    <w:p w:rsidR="00E16E96" w:rsidRPr="00612B42" w:rsidRDefault="00E16E96" w:rsidP="00E16E96">
      <w:pPr>
        <w:spacing w:after="200" w:line="360" w:lineRule="exact"/>
        <w:ind w:firstLine="851"/>
        <w:rPr>
          <w:rFonts w:eastAsia="Times New Roman" w:cs="Times New Roman"/>
          <w:snapToGrid w:val="0"/>
          <w:color w:val="000000"/>
          <w:sz w:val="24"/>
          <w:szCs w:val="20"/>
          <w:lang w:eastAsia="pt-BR"/>
        </w:rPr>
      </w:pPr>
      <w:r w:rsidRPr="00612B42">
        <w:rPr>
          <w:rFonts w:eastAsia="Times New Roman" w:cs="Times New Roman"/>
          <w:i/>
          <w:snapToGrid w:val="0"/>
          <w:color w:val="000000"/>
          <w:sz w:val="24"/>
          <w:szCs w:val="20"/>
          <w:lang w:eastAsia="pt-BR"/>
        </w:rPr>
        <w:t>..................................................................</w:t>
      </w:r>
      <w:r w:rsidRPr="00612B42">
        <w:rPr>
          <w:rFonts w:eastAsia="Times New Roman" w:cs="Times New Roman"/>
          <w:snapToGrid w:val="0"/>
          <w:color w:val="000000"/>
          <w:sz w:val="24"/>
          <w:szCs w:val="20"/>
          <w:lang w:eastAsia="pt-BR"/>
        </w:rPr>
        <w:t>” (NR)</w:t>
      </w:r>
    </w:p>
    <w:p w:rsidR="00E16E96" w:rsidRPr="00612B42" w:rsidRDefault="00E16E96" w:rsidP="00E16E96">
      <w:pPr>
        <w:spacing w:after="200" w:line="360" w:lineRule="exact"/>
        <w:ind w:firstLine="851"/>
        <w:rPr>
          <w:rFonts w:eastAsia="Times New Roman"/>
          <w:b/>
          <w:snapToGrid w:val="0"/>
          <w:color w:val="000000"/>
          <w:sz w:val="24"/>
          <w:szCs w:val="20"/>
          <w:lang w:eastAsia="pt-BR"/>
        </w:rPr>
      </w:pPr>
      <w:r w:rsidRPr="00612B42">
        <w:rPr>
          <w:rFonts w:eastAsia="Times New Roman" w:cs="Times New Roman"/>
          <w:snapToGrid w:val="0"/>
          <w:color w:val="000000"/>
          <w:sz w:val="24"/>
          <w:szCs w:val="20"/>
          <w:lang w:eastAsia="pt-BR"/>
        </w:rPr>
        <w:t>Art. 2º Esta lei complementar entra em vigor na data de sua publicação.</w:t>
      </w:r>
    </w:p>
    <w:p w:rsidR="00E16E96" w:rsidRPr="00612B42" w:rsidRDefault="00E16E96" w:rsidP="00E16E96">
      <w:pPr>
        <w:widowControl w:val="0"/>
        <w:suppressAutoHyphens/>
        <w:jc w:val="center"/>
        <w:rPr>
          <w:rFonts w:eastAsia="Arial Unicode MS"/>
          <w:b/>
          <w:sz w:val="24"/>
        </w:rPr>
      </w:pPr>
    </w:p>
    <w:p w:rsidR="00E16E96" w:rsidRPr="00612B42" w:rsidRDefault="00E16E96" w:rsidP="00E16E96">
      <w:pPr>
        <w:widowControl w:val="0"/>
        <w:suppressAutoHyphens/>
        <w:jc w:val="center"/>
        <w:rPr>
          <w:rFonts w:eastAsia="Arial Unicode MS"/>
          <w:b/>
          <w:sz w:val="24"/>
        </w:rPr>
      </w:pPr>
      <w:r w:rsidRPr="00612B42">
        <w:rPr>
          <w:rFonts w:eastAsia="Arial Unicode MS"/>
          <w:b/>
          <w:sz w:val="24"/>
        </w:rPr>
        <w:t>JUSTIFICAÇÃO</w:t>
      </w:r>
    </w:p>
    <w:p w:rsidR="00E16E96" w:rsidRPr="00612B42" w:rsidRDefault="00E16E96" w:rsidP="00E16E96">
      <w:pPr>
        <w:widowControl w:val="0"/>
        <w:suppressAutoHyphens/>
        <w:rPr>
          <w:rFonts w:eastAsia="Arial Unicode MS"/>
          <w:sz w:val="24"/>
        </w:rPr>
      </w:pPr>
    </w:p>
    <w:p w:rsidR="00E16E96" w:rsidRPr="00612B42" w:rsidRDefault="00E16E96" w:rsidP="00E16E96">
      <w:pPr>
        <w:widowControl w:val="0"/>
        <w:suppressAutoHyphens/>
        <w:ind w:firstLine="708"/>
        <w:rPr>
          <w:rFonts w:eastAsia="Arial Unicode MS"/>
          <w:sz w:val="24"/>
        </w:rPr>
      </w:pPr>
      <w:r w:rsidRPr="00612B42">
        <w:rPr>
          <w:rFonts w:eastAsia="Arial Unicode MS"/>
          <w:sz w:val="24"/>
        </w:rPr>
        <w:t>Trata-se a presente proposta de reapresentação do Projeto de Lei Complementar nº 20, de 2007, de autoria do Ex-Deputado Federal Paulo Rubem Santiago, do meu partido, que dá nova redação à alínea e do inciso I do art. 1º da Lei Complementar nº 64, de 18 de maio de 1990, que “estabelece, de acordo com o art. 14, § 9º da Constituição Federal, casos de inelegibilidade, prazos de cessação, e determina outras providências.”</w:t>
      </w:r>
    </w:p>
    <w:p w:rsidR="00E16E96" w:rsidRPr="00612B42" w:rsidRDefault="00E16E96" w:rsidP="00E16E96">
      <w:pPr>
        <w:widowControl w:val="0"/>
        <w:suppressAutoHyphens/>
        <w:ind w:firstLine="708"/>
        <w:rPr>
          <w:rFonts w:eastAsia="Arial Unicode MS"/>
          <w:sz w:val="24"/>
        </w:rPr>
      </w:pPr>
    </w:p>
    <w:p w:rsidR="00E16E96" w:rsidRPr="00612B42" w:rsidRDefault="00E16E96" w:rsidP="00E16E96">
      <w:pPr>
        <w:widowControl w:val="0"/>
        <w:suppressAutoHyphens/>
        <w:ind w:firstLine="708"/>
        <w:rPr>
          <w:rFonts w:eastAsia="Arial Unicode MS"/>
          <w:sz w:val="24"/>
        </w:rPr>
      </w:pPr>
      <w:r w:rsidRPr="00612B42">
        <w:rPr>
          <w:rFonts w:eastAsia="Arial Unicode MS"/>
          <w:sz w:val="24"/>
        </w:rPr>
        <w:t>Referido projeto foi arquivado nos termos do artigo 105 do Regimento Interno da Câmara dos Deputados, mas mantém-se oportuno e atual, como se pode ver das razões que o justificaram à época de sua apresentação:</w:t>
      </w:r>
    </w:p>
    <w:p w:rsidR="00E16E96" w:rsidRPr="00612B42" w:rsidRDefault="00E16E96" w:rsidP="00E16E96">
      <w:pPr>
        <w:widowControl w:val="0"/>
        <w:suppressAutoHyphens/>
        <w:ind w:firstLine="708"/>
        <w:rPr>
          <w:rFonts w:eastAsia="Arial Unicode MS"/>
          <w:sz w:val="24"/>
        </w:rPr>
      </w:pPr>
    </w:p>
    <w:p w:rsidR="00E16E96" w:rsidRPr="00612B42" w:rsidRDefault="00E16E96" w:rsidP="00E16E96">
      <w:pPr>
        <w:widowControl w:val="0"/>
        <w:suppressAutoHyphens/>
        <w:ind w:firstLine="708"/>
        <w:rPr>
          <w:rFonts w:eastAsia="Arial Unicode MS"/>
          <w:sz w:val="24"/>
        </w:rPr>
      </w:pPr>
      <w:r w:rsidRPr="00612B42">
        <w:rPr>
          <w:rFonts w:eastAsia="Arial Unicode MS"/>
          <w:sz w:val="24"/>
        </w:rPr>
        <w:t>“Na legislação que regula as inelegibilidades, existe uma lacuna que merece imediato reparo. Tolhe-se a candidatura de indivíduos que incorram em práticas criminosas diretamente prejudiciais ao interesse público, mas não se estende a restrição a seus parentes mais próximos.</w:t>
      </w:r>
    </w:p>
    <w:p w:rsidR="00E16E96" w:rsidRPr="00612B42" w:rsidRDefault="00E16E96" w:rsidP="00E16E96">
      <w:pPr>
        <w:widowControl w:val="0"/>
        <w:suppressAutoHyphens/>
        <w:ind w:firstLine="708"/>
        <w:rPr>
          <w:rFonts w:eastAsia="Arial Unicode MS"/>
          <w:sz w:val="24"/>
        </w:rPr>
      </w:pPr>
      <w:r w:rsidRPr="00612B42">
        <w:rPr>
          <w:rFonts w:eastAsia="Arial Unicode MS"/>
          <w:sz w:val="24"/>
        </w:rPr>
        <w:t>O que se vê, em decorrência da lógica em vigor, é a disseminação de “políticos” de fachada, incapazes de cumprir os mandatos para os quais são eleitos com idéias e práticas de próprio punho. Servem apenas de verdadeiros procuradores dos que deveriam estar afastados do processo eleitoral e terminam agindo em favor dos interesses escusos a que seus preceptores se entregaram.</w:t>
      </w:r>
    </w:p>
    <w:p w:rsidR="00E16E96" w:rsidRPr="00612B42" w:rsidRDefault="00E16E96" w:rsidP="00E16E96">
      <w:pPr>
        <w:widowControl w:val="0"/>
        <w:suppressAutoHyphens/>
        <w:ind w:firstLine="708"/>
        <w:rPr>
          <w:rFonts w:eastAsia="Arial Unicode MS"/>
          <w:sz w:val="24"/>
        </w:rPr>
      </w:pPr>
      <w:r w:rsidRPr="00612B42">
        <w:rPr>
          <w:rFonts w:eastAsia="Arial Unicode MS"/>
          <w:sz w:val="24"/>
        </w:rPr>
        <w:t>Com o intuito de corrigir essa inaceitável distorção do ordenamento jurídico pátrio, pede-se o apoio dos nobres Pares para a presente proposição.”</w:t>
      </w:r>
    </w:p>
    <w:p w:rsidR="00E16E96" w:rsidRPr="00612B42" w:rsidRDefault="00E16E96" w:rsidP="00E16E96">
      <w:pPr>
        <w:widowControl w:val="0"/>
        <w:suppressAutoHyphens/>
        <w:ind w:firstLine="708"/>
        <w:rPr>
          <w:rFonts w:eastAsia="Arial Unicode MS"/>
          <w:sz w:val="24"/>
        </w:rPr>
      </w:pPr>
    </w:p>
    <w:p w:rsidR="00E16E96" w:rsidRPr="00612B42" w:rsidRDefault="00E16E96" w:rsidP="00E16E96">
      <w:pPr>
        <w:widowControl w:val="0"/>
        <w:suppressAutoHyphens/>
        <w:ind w:firstLine="708"/>
        <w:rPr>
          <w:rFonts w:eastAsia="Arial Unicode MS"/>
          <w:sz w:val="24"/>
        </w:rPr>
      </w:pPr>
      <w:r w:rsidRPr="00612B42">
        <w:rPr>
          <w:rFonts w:eastAsia="Arial Unicode MS"/>
          <w:sz w:val="24"/>
        </w:rPr>
        <w:t>Desta forma, por concordar com os argumentos despendidos na justificativa colacionada, que demonstra a necessidade da proposta, cujo autor entendeu oportuna a sua reapresentação, espero aprovação rápida do presente Projeto de Lei.</w:t>
      </w:r>
    </w:p>
    <w:p w:rsidR="00E16E96" w:rsidRPr="00612B42" w:rsidRDefault="00E16E96" w:rsidP="00E16E96">
      <w:pPr>
        <w:widowControl w:val="0"/>
        <w:suppressAutoHyphens/>
        <w:ind w:firstLine="708"/>
        <w:rPr>
          <w:rFonts w:eastAsia="Arial Unicode MS"/>
          <w:sz w:val="24"/>
        </w:rPr>
      </w:pPr>
    </w:p>
    <w:p w:rsidR="00E16E96" w:rsidRPr="00612B42" w:rsidRDefault="00E16E96" w:rsidP="00E16E96">
      <w:pPr>
        <w:widowControl w:val="0"/>
        <w:suppressAutoHyphens/>
        <w:ind w:firstLine="708"/>
        <w:jc w:val="center"/>
        <w:rPr>
          <w:rFonts w:eastAsia="Arial Unicode MS"/>
          <w:sz w:val="24"/>
        </w:rPr>
      </w:pPr>
    </w:p>
    <w:p w:rsidR="00E16E96" w:rsidRPr="00612B42" w:rsidRDefault="00E16E96" w:rsidP="00E16E96">
      <w:pPr>
        <w:widowControl w:val="0"/>
        <w:suppressAutoHyphens/>
        <w:ind w:firstLine="708"/>
        <w:jc w:val="center"/>
        <w:rPr>
          <w:rFonts w:eastAsia="Arial Unicode MS"/>
          <w:sz w:val="24"/>
        </w:rPr>
      </w:pPr>
      <w:r w:rsidRPr="00612B42">
        <w:rPr>
          <w:rFonts w:eastAsia="Arial Unicode MS"/>
          <w:sz w:val="24"/>
        </w:rPr>
        <w:t>Sala das Sessões</w:t>
      </w:r>
      <w:r w:rsidR="00A30291">
        <w:rPr>
          <w:rFonts w:eastAsia="Arial Unicode MS"/>
          <w:sz w:val="24"/>
        </w:rPr>
        <w:t>, 02 de fevereiro de</w:t>
      </w:r>
      <w:r w:rsidRPr="00612B42">
        <w:rPr>
          <w:rFonts w:eastAsia="Arial Unicode MS"/>
          <w:sz w:val="24"/>
        </w:rPr>
        <w:t xml:space="preserve"> 2015.</w:t>
      </w:r>
    </w:p>
    <w:p w:rsidR="00E16E96" w:rsidRPr="00612B42" w:rsidRDefault="00E16E96" w:rsidP="00E16E96">
      <w:pPr>
        <w:widowControl w:val="0"/>
        <w:suppressAutoHyphens/>
        <w:autoSpaceDE w:val="0"/>
        <w:autoSpaceDN w:val="0"/>
        <w:adjustRightInd w:val="0"/>
        <w:jc w:val="center"/>
        <w:rPr>
          <w:rFonts w:eastAsia="Arial Unicode MS"/>
          <w:b/>
          <w:bCs/>
          <w:color w:val="000000"/>
          <w:sz w:val="24"/>
        </w:rPr>
      </w:pPr>
    </w:p>
    <w:p w:rsidR="00E16E96" w:rsidRPr="00612B42" w:rsidRDefault="00E16E96" w:rsidP="00E16E96">
      <w:pPr>
        <w:widowControl w:val="0"/>
        <w:suppressAutoHyphens/>
        <w:autoSpaceDE w:val="0"/>
        <w:autoSpaceDN w:val="0"/>
        <w:adjustRightInd w:val="0"/>
        <w:jc w:val="center"/>
        <w:rPr>
          <w:rFonts w:eastAsia="Arial Unicode MS"/>
          <w:b/>
          <w:bCs/>
          <w:color w:val="000000"/>
          <w:sz w:val="24"/>
        </w:rPr>
      </w:pPr>
    </w:p>
    <w:p w:rsidR="00E16E96" w:rsidRPr="00612B42" w:rsidRDefault="00E16E96" w:rsidP="00E16E96">
      <w:pPr>
        <w:widowControl w:val="0"/>
        <w:suppressAutoHyphens/>
        <w:autoSpaceDE w:val="0"/>
        <w:autoSpaceDN w:val="0"/>
        <w:adjustRightInd w:val="0"/>
        <w:jc w:val="center"/>
        <w:rPr>
          <w:rFonts w:eastAsia="Arial Unicode MS"/>
          <w:color w:val="000000"/>
          <w:sz w:val="24"/>
        </w:rPr>
      </w:pPr>
      <w:r w:rsidRPr="00612B42">
        <w:rPr>
          <w:rFonts w:eastAsia="Arial Unicode MS"/>
          <w:bCs/>
          <w:color w:val="000000"/>
          <w:sz w:val="24"/>
        </w:rPr>
        <w:t>Dep. Pompeo de Mattos</w:t>
      </w:r>
    </w:p>
    <w:p w:rsidR="00E16E96" w:rsidRPr="00612B42" w:rsidRDefault="00E16E96" w:rsidP="00E16E96">
      <w:pPr>
        <w:widowControl w:val="0"/>
        <w:suppressAutoHyphens/>
        <w:autoSpaceDE w:val="0"/>
        <w:autoSpaceDN w:val="0"/>
        <w:adjustRightInd w:val="0"/>
        <w:jc w:val="center"/>
        <w:rPr>
          <w:rFonts w:ascii="Times New Roman" w:eastAsia="Arial Unicode MS" w:hAnsi="Times New Roman" w:cs="Times New Roman"/>
          <w:sz w:val="24"/>
        </w:rPr>
      </w:pPr>
      <w:r w:rsidRPr="00612B42">
        <w:rPr>
          <w:rFonts w:eastAsia="Arial Unicode MS"/>
          <w:color w:val="000000"/>
          <w:sz w:val="24"/>
        </w:rPr>
        <w:t>Deputado Federal – PDT/RS</w:t>
      </w:r>
    </w:p>
    <w:p w:rsidR="00E16E96" w:rsidRPr="00612B42" w:rsidRDefault="00E16E96" w:rsidP="00E16E96">
      <w:pPr>
        <w:widowControl w:val="0"/>
        <w:suppressAutoHyphens/>
        <w:jc w:val="center"/>
        <w:rPr>
          <w:rFonts w:ascii="Verdana" w:eastAsia="Arial Unicode MS" w:hAnsi="Verdana" w:cs="Times New Roman"/>
          <w:sz w:val="24"/>
        </w:rPr>
      </w:pPr>
    </w:p>
    <w:p w:rsidR="00E16E96" w:rsidRDefault="00E16E96" w:rsidP="00E16E96">
      <w:pPr>
        <w:pBdr>
          <w:top w:val="single" w:sz="4" w:space="1" w:color="auto"/>
          <w:left w:val="single" w:sz="4" w:space="4" w:color="auto"/>
          <w:bottom w:val="single" w:sz="4" w:space="1" w:color="auto"/>
          <w:right w:val="single" w:sz="4" w:space="4" w:color="auto"/>
        </w:pBdr>
        <w:jc w:val="center"/>
        <w:rPr>
          <w:b/>
          <w:sz w:val="24"/>
        </w:rPr>
      </w:pPr>
      <w:bookmarkStart w:id="11" w:name="z944747_LEGISLACAO"/>
      <w:bookmarkEnd w:id="10"/>
      <w:r>
        <w:rPr>
          <w:b/>
          <w:sz w:val="24"/>
        </w:rPr>
        <w:t>LEGISLAÇÃO CITADA ANEXADA PELA</w:t>
      </w:r>
    </w:p>
    <w:p w:rsidR="00E16E96" w:rsidRDefault="00E16E96" w:rsidP="00E16E9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E16E96" w:rsidRDefault="00E16E96" w:rsidP="00E16E96">
      <w:pPr>
        <w:jc w:val="center"/>
        <w:rPr>
          <w:b/>
          <w:sz w:val="24"/>
        </w:rPr>
      </w:pPr>
    </w:p>
    <w:p w:rsidR="00E16E96" w:rsidRPr="00612B42" w:rsidRDefault="00E16E96" w:rsidP="00E16E96">
      <w:pPr>
        <w:keepNext/>
        <w:jc w:val="center"/>
        <w:outlineLvl w:val="0"/>
        <w:rPr>
          <w:rFonts w:ascii="Times New Roman" w:eastAsia="Times New Roman" w:hAnsi="Times New Roman" w:cs="Times New Roman"/>
          <w:b/>
          <w:color w:val="000000"/>
          <w:sz w:val="32"/>
          <w:szCs w:val="20"/>
          <w:lang w:eastAsia="pt-BR"/>
        </w:rPr>
      </w:pPr>
      <w:r w:rsidRPr="00612B42">
        <w:rPr>
          <w:rFonts w:ascii="Times New Roman" w:eastAsia="Times New Roman" w:hAnsi="Times New Roman" w:cs="Times New Roman"/>
          <w:b/>
          <w:color w:val="000000"/>
          <w:sz w:val="32"/>
          <w:szCs w:val="20"/>
          <w:lang w:eastAsia="pt-BR"/>
        </w:rPr>
        <w:t xml:space="preserve">CONSTITUIÇÃO </w:t>
      </w:r>
    </w:p>
    <w:p w:rsidR="00E16E96" w:rsidRPr="00612B42" w:rsidRDefault="00E16E96" w:rsidP="00E16E96">
      <w:pPr>
        <w:keepNext/>
        <w:jc w:val="center"/>
        <w:outlineLvl w:val="0"/>
        <w:rPr>
          <w:rFonts w:ascii="Times New Roman" w:eastAsia="Times New Roman" w:hAnsi="Times New Roman" w:cs="Times New Roman"/>
          <w:b/>
          <w:color w:val="000000"/>
          <w:sz w:val="28"/>
          <w:szCs w:val="20"/>
          <w:lang w:eastAsia="pt-BR"/>
        </w:rPr>
      </w:pPr>
      <w:r w:rsidRPr="00612B42">
        <w:rPr>
          <w:rFonts w:ascii="Times New Roman" w:eastAsia="Times New Roman" w:hAnsi="Times New Roman" w:cs="Times New Roman"/>
          <w:b/>
          <w:color w:val="000000"/>
          <w:sz w:val="28"/>
          <w:szCs w:val="20"/>
          <w:lang w:eastAsia="pt-BR"/>
        </w:rPr>
        <w:t>DA</w:t>
      </w:r>
    </w:p>
    <w:p w:rsidR="00E16E96" w:rsidRPr="00612B42" w:rsidRDefault="00E16E96" w:rsidP="00E16E96">
      <w:pPr>
        <w:keepNext/>
        <w:jc w:val="center"/>
        <w:outlineLvl w:val="0"/>
        <w:rPr>
          <w:rFonts w:ascii="Times New Roman" w:eastAsia="Times New Roman" w:hAnsi="Times New Roman" w:cs="Times New Roman"/>
          <w:b/>
          <w:color w:val="000000"/>
          <w:sz w:val="28"/>
          <w:szCs w:val="20"/>
          <w:lang w:eastAsia="pt-BR"/>
        </w:rPr>
      </w:pPr>
      <w:r w:rsidRPr="00612B42">
        <w:rPr>
          <w:rFonts w:ascii="Times New Roman" w:eastAsia="Times New Roman" w:hAnsi="Times New Roman" w:cs="Times New Roman"/>
          <w:b/>
          <w:color w:val="000000"/>
          <w:sz w:val="28"/>
          <w:szCs w:val="20"/>
          <w:lang w:eastAsia="pt-BR"/>
        </w:rPr>
        <w:t>REPÚBLICA FEDERATIVA DO BRASIL</w:t>
      </w:r>
    </w:p>
    <w:p w:rsidR="00E16E96" w:rsidRPr="00612B42" w:rsidRDefault="00E16E96" w:rsidP="00E16E96">
      <w:pPr>
        <w:keepNext/>
        <w:jc w:val="center"/>
        <w:outlineLvl w:val="0"/>
        <w:rPr>
          <w:rFonts w:ascii="Times New Roman" w:eastAsia="Times New Roman" w:hAnsi="Times New Roman" w:cs="Times New Roman"/>
          <w:sz w:val="22"/>
          <w:szCs w:val="20"/>
          <w:lang w:eastAsia="pt-BR"/>
        </w:rPr>
      </w:pPr>
      <w:r w:rsidRPr="00612B42">
        <w:rPr>
          <w:rFonts w:ascii="Times New Roman" w:eastAsia="Times New Roman" w:hAnsi="Times New Roman" w:cs="Times New Roman"/>
          <w:b/>
          <w:color w:val="000000"/>
          <w:sz w:val="28"/>
          <w:szCs w:val="20"/>
          <w:lang w:eastAsia="pt-BR"/>
        </w:rPr>
        <w:t>1988</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Pr="00612B42" w:rsidRDefault="00E16E96" w:rsidP="00E16E96">
      <w:pPr>
        <w:jc w:val="center"/>
        <w:rPr>
          <w:rFonts w:ascii="Times New Roman" w:eastAsia="Times New Roman" w:hAnsi="Times New Roman" w:cs="Times New Roman"/>
          <w:color w:val="000000"/>
          <w:sz w:val="24"/>
          <w:szCs w:val="20"/>
          <w:lang w:eastAsia="pt-BR"/>
        </w:rPr>
      </w:pPr>
    </w:p>
    <w:p w:rsidR="00E16E96" w:rsidRPr="00612B42" w:rsidRDefault="00E16E96" w:rsidP="00E16E96">
      <w:pPr>
        <w:jc w:val="center"/>
        <w:rPr>
          <w:rFonts w:ascii="Times New Roman" w:eastAsia="Times New Roman" w:hAnsi="Times New Roman" w:cs="Times New Roman"/>
          <w:color w:val="000000"/>
          <w:sz w:val="24"/>
          <w:szCs w:val="20"/>
          <w:lang w:eastAsia="pt-BR"/>
        </w:rPr>
      </w:pPr>
      <w:r w:rsidRPr="00612B42">
        <w:rPr>
          <w:rFonts w:ascii="Times New Roman" w:eastAsia="Times New Roman" w:hAnsi="Times New Roman" w:cs="Times New Roman"/>
          <w:color w:val="000000"/>
          <w:sz w:val="24"/>
          <w:szCs w:val="20"/>
          <w:lang w:eastAsia="pt-BR"/>
        </w:rPr>
        <w:t>TÍTULO II</w:t>
      </w:r>
    </w:p>
    <w:p w:rsidR="00E16E96" w:rsidRPr="00612B42" w:rsidRDefault="00E16E96" w:rsidP="00E16E96">
      <w:pPr>
        <w:jc w:val="center"/>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DOS DIREITOS E GARANTIAS FUNDAMENTAIS</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Pr="00612B42" w:rsidRDefault="00E16E96" w:rsidP="00E16E96">
      <w:pPr>
        <w:ind w:firstLine="1134"/>
        <w:rPr>
          <w:rFonts w:ascii="Times New Roman" w:eastAsia="Times New Roman" w:hAnsi="Times New Roman" w:cs="Times New Roman"/>
          <w:b/>
          <w:i/>
          <w:color w:val="000000"/>
          <w:sz w:val="24"/>
          <w:szCs w:val="20"/>
          <w:lang w:eastAsia="pt-BR"/>
        </w:rPr>
      </w:pPr>
    </w:p>
    <w:p w:rsidR="00E16E96" w:rsidRPr="00612B42" w:rsidRDefault="00E16E96" w:rsidP="00E16E96">
      <w:pPr>
        <w:jc w:val="center"/>
        <w:rPr>
          <w:rFonts w:ascii="Times New Roman" w:eastAsia="Times New Roman" w:hAnsi="Times New Roman" w:cs="Times New Roman"/>
          <w:color w:val="000000"/>
          <w:sz w:val="24"/>
          <w:szCs w:val="20"/>
          <w:lang w:eastAsia="pt-BR"/>
        </w:rPr>
      </w:pPr>
      <w:r w:rsidRPr="00612B42">
        <w:rPr>
          <w:rFonts w:ascii="Times New Roman" w:eastAsia="Times New Roman" w:hAnsi="Times New Roman" w:cs="Times New Roman"/>
          <w:color w:val="000000"/>
          <w:sz w:val="24"/>
          <w:szCs w:val="20"/>
          <w:lang w:eastAsia="pt-BR"/>
        </w:rPr>
        <w:t>CAPÍTULO IV</w:t>
      </w:r>
    </w:p>
    <w:p w:rsidR="00E16E96" w:rsidRPr="00612B42" w:rsidRDefault="00E16E96" w:rsidP="00E16E96">
      <w:pPr>
        <w:jc w:val="center"/>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DOS DIREITOS POLÍTICOS</w:t>
      </w:r>
    </w:p>
    <w:p w:rsidR="00E16E96" w:rsidRPr="00612B42" w:rsidRDefault="00E16E96" w:rsidP="00E16E96">
      <w:pPr>
        <w:ind w:firstLine="1134"/>
        <w:rPr>
          <w:rFonts w:ascii="Times New Roman" w:eastAsia="Times New Roman" w:hAnsi="Times New Roman" w:cs="Times New Roman"/>
          <w:sz w:val="24"/>
          <w:szCs w:val="20"/>
          <w:lang w:eastAsia="pt-BR"/>
        </w:rPr>
      </w:pP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Art. 14.</w:t>
      </w:r>
      <w:r w:rsidRPr="00612B42">
        <w:rPr>
          <w:rFonts w:ascii="Times New Roman" w:eastAsia="Times New Roman" w:hAnsi="Times New Roman" w:cs="Times New Roman"/>
          <w:b/>
          <w:color w:val="000000"/>
          <w:sz w:val="24"/>
          <w:szCs w:val="20"/>
          <w:lang w:eastAsia="pt-BR"/>
        </w:rPr>
        <w:t xml:space="preserve"> </w:t>
      </w:r>
      <w:r w:rsidRPr="00612B42">
        <w:rPr>
          <w:rFonts w:ascii="Times New Roman" w:eastAsia="Times New Roman" w:hAnsi="Times New Roman" w:cs="Times New Roman"/>
          <w:sz w:val="24"/>
          <w:szCs w:val="20"/>
          <w:lang w:eastAsia="pt-BR"/>
        </w:rPr>
        <w:t xml:space="preserve"> </w:t>
      </w:r>
      <w:r w:rsidRPr="00612B42">
        <w:rPr>
          <w:rFonts w:ascii="Times New Roman" w:eastAsia="Times New Roman" w:hAnsi="Times New Roman" w:cs="Times New Roman"/>
          <w:color w:val="000000"/>
          <w:sz w:val="24"/>
          <w:szCs w:val="20"/>
          <w:lang w:eastAsia="pt-BR"/>
        </w:rPr>
        <w:t xml:space="preserve">A soberania popular será exercida pelo sufrágio universal e pelo voto direto e secreto, com valor igual para todos, e, nos termos da lei, mediante: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 - plebiscito;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 - referendo;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III - iniciativa popular.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1º O alistamento eleitoral e o voto são: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 - obrigatórios para os maiores de dezoito anos;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 - facultativos para: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a) os analfabetos;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b) os maiores de setenta anos;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c) os maiores de dezesseis e menores de dezoito anos.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2º Não podem alistar-se como eleitores os estrangeiros e, durante o período do serviço militar obrigatório, os conscritos.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3º São condições de elegibilidade, na forma da lei: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 - a nacionalidade brasileira;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 - o pleno exercício dos direitos políticos;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III - o alistamento eleitoral;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IV - o domicílio eleitoral na circunscrição;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V - a filiação partidária;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VI - a idade mínima de: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lastRenderedPageBreak/>
        <w:t xml:space="preserve">a) trinta e cinco anos para Presidente e Vice-Presidente da República e Senador;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b) trinta anos para Governador e Vice-Governador de Estado e do Distrito Federal;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c) vinte e um anos para Deputado Federal, Deputado Estadual ou Distrital, Prefeito, Vice-Prefeito e juiz de paz;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d) dezoito anos para Vereador.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4º São inelegíveis os inalistáveis e os analfabetos. </w:t>
      </w:r>
    </w:p>
    <w:p w:rsidR="00E16E96" w:rsidRPr="00612B42" w:rsidRDefault="00E16E96" w:rsidP="00E16E96">
      <w:pPr>
        <w:ind w:firstLine="1134"/>
        <w:rPr>
          <w:rFonts w:ascii="Times New Roman" w:eastAsia="Times New Roman" w:hAnsi="Times New Roman" w:cs="Times New Roman"/>
          <w:i/>
          <w:color w:val="0000FF"/>
          <w:sz w:val="24"/>
          <w:szCs w:val="20"/>
          <w:u w:val="single"/>
          <w:lang w:eastAsia="pt-BR"/>
        </w:rPr>
      </w:pPr>
      <w:r w:rsidRPr="00612B42">
        <w:rPr>
          <w:rFonts w:ascii="Times New Roman" w:eastAsia="Times New Roman" w:hAnsi="Times New Roman" w:cs="Times New Roman"/>
          <w:color w:val="000000"/>
          <w:sz w:val="24"/>
          <w:szCs w:val="20"/>
          <w:lang w:eastAsia="pt-BR"/>
        </w:rPr>
        <w:t xml:space="preserve">§ 5º O Presidente da República, os Governadores de Estado e do Distrito Federal, os Prefeitos e quem os houver sucedido ou substituído no curso dos mandatos poderão ser reeleitos para um único período subseqüente. </w:t>
      </w:r>
      <w:r w:rsidRPr="00612B42">
        <w:rPr>
          <w:rFonts w:ascii="Times New Roman" w:eastAsia="Times New Roman" w:hAnsi="Times New Roman" w:cs="Times New Roman"/>
          <w:i/>
          <w:color w:val="000000"/>
          <w:sz w:val="24"/>
          <w:szCs w:val="20"/>
          <w:lang w:eastAsia="pt-BR"/>
        </w:rPr>
        <w:fldChar w:fldCharType="begin"/>
      </w:r>
      <w:r w:rsidRPr="00612B42">
        <w:rPr>
          <w:rFonts w:ascii="Times New Roman" w:eastAsia="Times New Roman" w:hAnsi="Times New Roman" w:cs="Times New Roman"/>
          <w:i/>
          <w:color w:val="000000"/>
          <w:sz w:val="24"/>
          <w:szCs w:val="20"/>
          <w:lang w:eastAsia="pt-BR"/>
        </w:rPr>
        <w:instrText>HYPERLINK "http://www2.camara.gov.br/legislacao/legin.html/visualizarNorma.html?ideNorma=355726&amp;PalavrasDestaque="</w:instrText>
      </w:r>
      <w:r w:rsidRPr="00612B42">
        <w:rPr>
          <w:rFonts w:ascii="Times New Roman" w:eastAsia="Times New Roman" w:hAnsi="Times New Roman" w:cs="Times New Roman"/>
          <w:i/>
          <w:color w:val="000000"/>
          <w:sz w:val="24"/>
          <w:szCs w:val="20"/>
          <w:lang w:eastAsia="pt-BR"/>
        </w:rPr>
        <w:fldChar w:fldCharType="separate"/>
      </w:r>
      <w:r w:rsidRPr="00612B42">
        <w:rPr>
          <w:rFonts w:ascii="Times New Roman" w:eastAsia="Times New Roman" w:hAnsi="Times New Roman" w:cs="Times New Roman"/>
          <w:i/>
          <w:color w:val="0000FF"/>
          <w:sz w:val="24"/>
          <w:szCs w:val="20"/>
          <w:u w:val="single"/>
          <w:lang w:eastAsia="pt-BR"/>
        </w:rPr>
        <w:t>(Parágrafo com redaç</w:t>
      </w:r>
      <w:bookmarkStart w:id="12" w:name="_Hlt93305280"/>
      <w:r w:rsidRPr="00612B42">
        <w:rPr>
          <w:rFonts w:ascii="Times New Roman" w:eastAsia="Times New Roman" w:hAnsi="Times New Roman" w:cs="Times New Roman"/>
          <w:i/>
          <w:color w:val="0000FF"/>
          <w:sz w:val="24"/>
          <w:szCs w:val="20"/>
          <w:u w:val="single"/>
          <w:lang w:eastAsia="pt-BR"/>
        </w:rPr>
        <w:t>ã</w:t>
      </w:r>
      <w:bookmarkEnd w:id="12"/>
      <w:r w:rsidRPr="00612B42">
        <w:rPr>
          <w:rFonts w:ascii="Times New Roman" w:eastAsia="Times New Roman" w:hAnsi="Times New Roman" w:cs="Times New Roman"/>
          <w:i/>
          <w:color w:val="0000FF"/>
          <w:sz w:val="24"/>
          <w:szCs w:val="20"/>
          <w:u w:val="single"/>
          <w:lang w:eastAsia="pt-BR"/>
        </w:rPr>
        <w:t>o da</w:t>
      </w:r>
      <w:bookmarkStart w:id="13" w:name="_Hlt70735061"/>
      <w:r w:rsidRPr="00612B42">
        <w:rPr>
          <w:rFonts w:ascii="Times New Roman" w:eastAsia="Times New Roman" w:hAnsi="Times New Roman" w:cs="Times New Roman"/>
          <w:i/>
          <w:color w:val="0000FF"/>
          <w:sz w:val="24"/>
          <w:szCs w:val="20"/>
          <w:u w:val="single"/>
          <w:lang w:eastAsia="pt-BR"/>
        </w:rPr>
        <w:t>d</w:t>
      </w:r>
      <w:bookmarkEnd w:id="13"/>
      <w:r w:rsidRPr="00612B42">
        <w:rPr>
          <w:rFonts w:ascii="Times New Roman" w:eastAsia="Times New Roman" w:hAnsi="Times New Roman" w:cs="Times New Roman"/>
          <w:i/>
          <w:color w:val="0000FF"/>
          <w:sz w:val="24"/>
          <w:szCs w:val="20"/>
          <w:u w:val="single"/>
          <w:lang w:eastAsia="pt-BR"/>
        </w:rPr>
        <w:t>a pela Emenda Constitucional nº</w:t>
      </w:r>
      <w:bookmarkStart w:id="14" w:name="_Hlt93308401"/>
      <w:r w:rsidRPr="00612B42">
        <w:rPr>
          <w:rFonts w:ascii="Times New Roman" w:eastAsia="Times New Roman" w:hAnsi="Times New Roman" w:cs="Times New Roman"/>
          <w:i/>
          <w:color w:val="0000FF"/>
          <w:sz w:val="24"/>
          <w:szCs w:val="20"/>
          <w:u w:val="single"/>
          <w:lang w:eastAsia="pt-BR"/>
        </w:rPr>
        <w:t xml:space="preserve"> </w:t>
      </w:r>
      <w:bookmarkEnd w:id="14"/>
      <w:r w:rsidRPr="00612B42">
        <w:rPr>
          <w:rFonts w:ascii="Times New Roman" w:eastAsia="Times New Roman" w:hAnsi="Times New Roman" w:cs="Times New Roman"/>
          <w:i/>
          <w:color w:val="0000FF"/>
          <w:sz w:val="24"/>
          <w:szCs w:val="20"/>
          <w:u w:val="single"/>
          <w:lang w:eastAsia="pt-BR"/>
        </w:rPr>
        <w:t>16, de 1997)</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i/>
          <w:color w:val="000000"/>
          <w:sz w:val="24"/>
          <w:szCs w:val="20"/>
          <w:lang w:eastAsia="pt-BR"/>
        </w:rPr>
        <w:fldChar w:fldCharType="end"/>
      </w:r>
      <w:r w:rsidRPr="00612B42">
        <w:rPr>
          <w:rFonts w:ascii="Times New Roman" w:eastAsia="Times New Roman" w:hAnsi="Times New Roman" w:cs="Times New Roman"/>
          <w:color w:val="000000"/>
          <w:sz w:val="24"/>
          <w:szCs w:val="20"/>
          <w:lang w:eastAsia="pt-BR"/>
        </w:rPr>
        <w:t xml:space="preserve">§ 6º Para concorrerem a outros cargos, o Presidente da República, os Governadores de Estado e do Distrito Federal e os Prefeitos devem renunciar aos respectivos mandatos até seis meses antes do pleito.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7º São inelegíveis, no território de jurisdição do titular, o cônjuge e os parentes consangüíneos ou afins, até o segundo grau ou por adoção, do Presidente da República, de Governador de Estado ou Território, do Distrito Federal, de Prefeito ou de quem os haja substituído dentro dos seis meses anteriores ao pleito, salvo se já titular de mandato eletivo e candidato à reeleição.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8º O militar alistável é elegível, atendidas as seguintes condições: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 - se contar menos de dez anos de serviço, deverá afastar-se da atividade;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 - se contar mais de dez anos de serviço, será agregado pela autoridade superior e, se eleito, passará automaticamente, no ato da diplomação, para a inatividade. </w:t>
      </w:r>
    </w:p>
    <w:p w:rsidR="00E16E96" w:rsidRPr="00612B42" w:rsidRDefault="00E16E96" w:rsidP="00E16E96">
      <w:pPr>
        <w:ind w:firstLine="1134"/>
        <w:rPr>
          <w:rFonts w:ascii="Times New Roman" w:eastAsia="Times New Roman" w:hAnsi="Times New Roman" w:cs="Times New Roman"/>
          <w:i/>
          <w:color w:val="0000FF"/>
          <w:sz w:val="24"/>
          <w:szCs w:val="20"/>
          <w:u w:val="single"/>
          <w:lang w:eastAsia="pt-BR"/>
        </w:rPr>
      </w:pPr>
      <w:r w:rsidRPr="00612B42">
        <w:rPr>
          <w:rFonts w:ascii="Times New Roman" w:eastAsia="Times New Roman" w:hAnsi="Times New Roman" w:cs="Times New Roman"/>
          <w:color w:val="000000"/>
          <w:sz w:val="24"/>
          <w:szCs w:val="20"/>
          <w:lang w:eastAsia="pt-BR"/>
        </w:rPr>
        <w:t xml:space="preserve">§ 9º Lei complementar estabelecerá outros casos de inelegibilidade e os prazos de sua cessação, a fim de proteger a probidade administrativa,  a moralidade para o exercício do mandato, considerada a vida pregressa do candidato, e a normalidade e legitimidade das eleições contra a influência do poder econômico ou o abuso do exercício de função, cargo ou emprego na administração direta ou indireta. </w:t>
      </w:r>
      <w:r w:rsidRPr="00612B42">
        <w:rPr>
          <w:rFonts w:ascii="Times New Roman" w:eastAsia="Times New Roman" w:hAnsi="Times New Roman" w:cs="Times New Roman"/>
          <w:i/>
          <w:color w:val="000000"/>
          <w:sz w:val="24"/>
          <w:szCs w:val="20"/>
          <w:lang w:eastAsia="pt-BR"/>
        </w:rPr>
        <w:fldChar w:fldCharType="begin"/>
      </w:r>
      <w:r w:rsidRPr="00612B42">
        <w:rPr>
          <w:rFonts w:ascii="Times New Roman" w:eastAsia="Times New Roman" w:hAnsi="Times New Roman" w:cs="Times New Roman"/>
          <w:i/>
          <w:color w:val="000000"/>
          <w:sz w:val="24"/>
          <w:szCs w:val="20"/>
          <w:lang w:eastAsia="pt-BR"/>
        </w:rPr>
        <w:instrText>HYPERLINK "http://intranet2.camara.gov.br/internet/legislacao/legin.html/visualizarNorma.html?ideNorma=363970&amp;PalavrasDestaque="</w:instrText>
      </w:r>
      <w:r w:rsidRPr="00612B42">
        <w:rPr>
          <w:rFonts w:ascii="Times New Roman" w:eastAsia="Times New Roman" w:hAnsi="Times New Roman" w:cs="Times New Roman"/>
          <w:i/>
          <w:color w:val="000000"/>
          <w:sz w:val="24"/>
          <w:szCs w:val="20"/>
          <w:lang w:eastAsia="pt-BR"/>
        </w:rPr>
        <w:fldChar w:fldCharType="separate"/>
      </w:r>
      <w:r w:rsidRPr="00612B42">
        <w:rPr>
          <w:rFonts w:ascii="Times New Roman" w:eastAsia="Times New Roman" w:hAnsi="Times New Roman" w:cs="Times New Roman"/>
          <w:i/>
          <w:color w:val="0000FF"/>
          <w:sz w:val="24"/>
          <w:szCs w:val="20"/>
          <w:u w:val="single"/>
          <w:lang w:eastAsia="pt-BR"/>
        </w:rPr>
        <w:t>(Parágrafo co</w:t>
      </w:r>
      <w:bookmarkStart w:id="15" w:name="_Hlt93308417"/>
      <w:r w:rsidRPr="00612B42">
        <w:rPr>
          <w:rFonts w:ascii="Times New Roman" w:eastAsia="Times New Roman" w:hAnsi="Times New Roman" w:cs="Times New Roman"/>
          <w:i/>
          <w:color w:val="0000FF"/>
          <w:sz w:val="24"/>
          <w:szCs w:val="20"/>
          <w:u w:val="single"/>
          <w:lang w:eastAsia="pt-BR"/>
        </w:rPr>
        <w:t xml:space="preserve">m redação dada  </w:t>
      </w:r>
      <w:bookmarkEnd w:id="15"/>
      <w:r w:rsidRPr="00612B42">
        <w:rPr>
          <w:rFonts w:ascii="Times New Roman" w:eastAsia="Times New Roman" w:hAnsi="Times New Roman" w:cs="Times New Roman"/>
          <w:i/>
          <w:color w:val="0000FF"/>
          <w:sz w:val="24"/>
          <w:szCs w:val="20"/>
          <w:u w:val="single"/>
          <w:lang w:eastAsia="pt-BR"/>
        </w:rPr>
        <w:t xml:space="preserve">pela </w:t>
      </w:r>
      <w:bookmarkStart w:id="16" w:name="_Hlt70735212"/>
      <w:r w:rsidRPr="00612B42">
        <w:rPr>
          <w:rFonts w:ascii="Times New Roman" w:eastAsia="Times New Roman" w:hAnsi="Times New Roman" w:cs="Times New Roman"/>
          <w:i/>
          <w:color w:val="0000FF"/>
          <w:sz w:val="24"/>
          <w:szCs w:val="20"/>
          <w:u w:val="single"/>
          <w:lang w:eastAsia="pt-BR"/>
        </w:rPr>
        <w:t>E</w:t>
      </w:r>
      <w:bookmarkEnd w:id="16"/>
      <w:r w:rsidRPr="00612B42">
        <w:rPr>
          <w:rFonts w:ascii="Times New Roman" w:eastAsia="Times New Roman" w:hAnsi="Times New Roman" w:cs="Times New Roman"/>
          <w:i/>
          <w:color w:val="0000FF"/>
          <w:sz w:val="24"/>
          <w:szCs w:val="20"/>
          <w:u w:val="single"/>
          <w:lang w:eastAsia="pt-BR"/>
        </w:rPr>
        <w:t>menda Constitucional de Revisão nº 4, de 1994)</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i/>
          <w:color w:val="000000"/>
          <w:sz w:val="24"/>
          <w:szCs w:val="20"/>
          <w:lang w:eastAsia="pt-BR"/>
        </w:rPr>
        <w:fldChar w:fldCharType="end"/>
      </w:r>
      <w:r w:rsidRPr="00612B42">
        <w:rPr>
          <w:rFonts w:ascii="Times New Roman" w:eastAsia="Times New Roman" w:hAnsi="Times New Roman" w:cs="Times New Roman"/>
          <w:color w:val="000000"/>
          <w:sz w:val="24"/>
          <w:szCs w:val="20"/>
          <w:lang w:eastAsia="pt-BR"/>
        </w:rPr>
        <w:t xml:space="preserve">§ 10. O mandato eletivo poderá ser impugnado ante a Justiça Eleitoral no prazo de quinze dias contados da diplomação, instruída a ação com provas de abuso do poder econômico, corrupção ou fraude.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 11. A ação de impugnação de mandato tramitará em segredo de justiça, respondendo o autor, na forma da lei, se temerária ou de manifesta má-fé. </w:t>
      </w:r>
    </w:p>
    <w:p w:rsidR="00E16E96" w:rsidRPr="00612B42" w:rsidRDefault="00E16E96" w:rsidP="00E16E96">
      <w:pPr>
        <w:ind w:firstLine="1134"/>
        <w:rPr>
          <w:rFonts w:ascii="Times New Roman" w:eastAsia="Times New Roman" w:hAnsi="Times New Roman" w:cs="Times New Roman"/>
          <w:b/>
          <w:color w:val="000000"/>
          <w:sz w:val="24"/>
          <w:szCs w:val="20"/>
          <w:lang w:eastAsia="pt-BR"/>
        </w:rPr>
      </w:pP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Art. 15.</w:t>
      </w:r>
      <w:r w:rsidRPr="00612B42">
        <w:rPr>
          <w:rFonts w:ascii="Times New Roman" w:eastAsia="Times New Roman" w:hAnsi="Times New Roman" w:cs="Times New Roman"/>
          <w:b/>
          <w:color w:val="000000"/>
          <w:sz w:val="24"/>
          <w:szCs w:val="20"/>
          <w:lang w:eastAsia="pt-BR"/>
        </w:rPr>
        <w:t xml:space="preserve"> </w:t>
      </w:r>
      <w:r w:rsidRPr="00612B42">
        <w:rPr>
          <w:rFonts w:ascii="Times New Roman" w:eastAsia="Times New Roman" w:hAnsi="Times New Roman" w:cs="Times New Roman"/>
          <w:color w:val="000000"/>
          <w:sz w:val="24"/>
          <w:szCs w:val="20"/>
          <w:lang w:eastAsia="pt-BR"/>
        </w:rPr>
        <w:t xml:space="preserve">É vedada a cassação de direitos políticos, cuja perda ou suspensão só se dará nos casos de: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 - cancelamento da naturalização por sentença transitada em julgado;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 - incapacidade civil absoluta;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III - condenação criminal transitada em julgado, enquanto durarem seus efeitos;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color w:val="000000"/>
          <w:sz w:val="24"/>
          <w:szCs w:val="20"/>
          <w:lang w:eastAsia="pt-BR"/>
        </w:rPr>
        <w:t xml:space="preserve">IV - recusa de cumprir obrigação a todos imposta ou prestação alternativa, nos termos do art. 5º, VIII; </w:t>
      </w:r>
    </w:p>
    <w:p w:rsidR="00E16E96" w:rsidRPr="00612B42" w:rsidRDefault="00E16E96" w:rsidP="00E16E96">
      <w:pPr>
        <w:ind w:firstLine="1134"/>
        <w:rPr>
          <w:rFonts w:ascii="Times New Roman" w:eastAsia="Times New Roman" w:hAnsi="Times New Roman" w:cs="Times New Roman"/>
          <w:color w:val="000000"/>
          <w:sz w:val="24"/>
          <w:szCs w:val="20"/>
          <w:lang w:eastAsia="pt-BR"/>
        </w:rPr>
      </w:pPr>
      <w:r w:rsidRPr="00612B42">
        <w:rPr>
          <w:rFonts w:ascii="Times New Roman" w:eastAsia="Times New Roman" w:hAnsi="Times New Roman" w:cs="Times New Roman"/>
          <w:color w:val="000000"/>
          <w:sz w:val="24"/>
          <w:szCs w:val="20"/>
          <w:lang w:eastAsia="pt-BR"/>
        </w:rPr>
        <w:t xml:space="preserve">V - improbidade administrativa, nos termos do art. 37, § 4º. </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Default="00E16E96" w:rsidP="00E16E96">
      <w:pPr>
        <w:tabs>
          <w:tab w:val="center" w:pos="4419"/>
          <w:tab w:val="right" w:pos="8838"/>
        </w:tabs>
        <w:jc w:val="center"/>
        <w:rPr>
          <w:rFonts w:ascii="Times New Roman" w:eastAsia="Times New Roman" w:hAnsi="Times New Roman" w:cs="Times New Roman"/>
          <w:b/>
          <w:sz w:val="28"/>
          <w:szCs w:val="20"/>
          <w:lang w:eastAsia="pt-BR"/>
        </w:rPr>
      </w:pPr>
    </w:p>
    <w:p w:rsidR="00E16E96" w:rsidRPr="00612B42" w:rsidRDefault="00E16E96" w:rsidP="00E16E96">
      <w:pPr>
        <w:tabs>
          <w:tab w:val="center" w:pos="4419"/>
          <w:tab w:val="right" w:pos="8838"/>
        </w:tabs>
        <w:jc w:val="center"/>
        <w:rPr>
          <w:rFonts w:ascii="Times New Roman" w:eastAsia="Times New Roman" w:hAnsi="Times New Roman" w:cs="Times New Roman"/>
          <w:b/>
          <w:sz w:val="28"/>
          <w:szCs w:val="20"/>
          <w:lang w:eastAsia="pt-BR"/>
        </w:rPr>
      </w:pPr>
      <w:r w:rsidRPr="00612B42">
        <w:rPr>
          <w:rFonts w:ascii="Times New Roman" w:eastAsia="Times New Roman" w:hAnsi="Times New Roman" w:cs="Times New Roman"/>
          <w:b/>
          <w:sz w:val="28"/>
          <w:szCs w:val="20"/>
          <w:lang w:eastAsia="pt-BR"/>
        </w:rPr>
        <w:t xml:space="preserve">LEI COMPLEMENTAR Nº 64, DE </w:t>
      </w:r>
      <w:smartTag w:uri="urn:schemas-microsoft-com:office:smarttags" w:element="date">
        <w:smartTagPr>
          <w:attr w:name="ls" w:val="trans"/>
          <w:attr w:name="Month" w:val="5"/>
          <w:attr w:name="Day" w:val="18"/>
          <w:attr w:name="Year" w:val="1990"/>
        </w:smartTagPr>
        <w:r w:rsidRPr="00612B42">
          <w:rPr>
            <w:rFonts w:ascii="Times New Roman" w:eastAsia="Times New Roman" w:hAnsi="Times New Roman" w:cs="Times New Roman"/>
            <w:b/>
            <w:sz w:val="28"/>
            <w:szCs w:val="20"/>
            <w:lang w:eastAsia="pt-BR"/>
          </w:rPr>
          <w:t>18 DE MAIO DE 1990</w:t>
        </w:r>
      </w:smartTag>
    </w:p>
    <w:p w:rsidR="00E16E96" w:rsidRPr="00612B42" w:rsidRDefault="00E16E96" w:rsidP="00E16E96">
      <w:pPr>
        <w:tabs>
          <w:tab w:val="center" w:pos="4419"/>
          <w:tab w:val="right" w:pos="8838"/>
        </w:tabs>
        <w:jc w:val="center"/>
        <w:rPr>
          <w:rFonts w:ascii="Times New Roman" w:eastAsia="Times New Roman" w:hAnsi="Times New Roman" w:cs="Times New Roman"/>
          <w:szCs w:val="20"/>
          <w:lang w:eastAsia="pt-BR"/>
        </w:rPr>
      </w:pPr>
    </w:p>
    <w:p w:rsidR="00E16E96" w:rsidRPr="00612B42" w:rsidRDefault="00E16E96" w:rsidP="00E16E96">
      <w:pPr>
        <w:tabs>
          <w:tab w:val="center" w:pos="4419"/>
          <w:tab w:val="right" w:pos="8838"/>
        </w:tabs>
        <w:ind w:left="4395"/>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Estabelece, de acordo com o art. 14, § 9º, da Constituição Federal, casos de inelegibilidade, </w:t>
      </w:r>
      <w:r w:rsidRPr="00612B42">
        <w:rPr>
          <w:rFonts w:ascii="Times New Roman" w:eastAsia="Times New Roman" w:hAnsi="Times New Roman" w:cs="Times New Roman"/>
          <w:sz w:val="24"/>
          <w:szCs w:val="20"/>
          <w:lang w:eastAsia="pt-BR"/>
        </w:rPr>
        <w:lastRenderedPageBreak/>
        <w:t xml:space="preserve">prazos de cessação e determina outras providências. </w:t>
      </w:r>
    </w:p>
    <w:p w:rsidR="00E16E96" w:rsidRPr="00612B42" w:rsidRDefault="00E16E96" w:rsidP="00E16E96">
      <w:pPr>
        <w:tabs>
          <w:tab w:val="center" w:pos="4419"/>
          <w:tab w:val="right" w:pos="8838"/>
        </w:tabs>
        <w:jc w:val="center"/>
        <w:rPr>
          <w:rFonts w:ascii="Times New Roman" w:eastAsia="Times New Roman" w:hAnsi="Times New Roman" w:cs="Times New Roman"/>
          <w:szCs w:val="20"/>
          <w:lang w:eastAsia="pt-BR"/>
        </w:rPr>
      </w:pPr>
    </w:p>
    <w:p w:rsidR="00E16E96" w:rsidRPr="00612B42" w:rsidRDefault="00E16E96" w:rsidP="00E16E96">
      <w:pPr>
        <w:tabs>
          <w:tab w:val="center" w:pos="4419"/>
          <w:tab w:val="right" w:pos="8838"/>
        </w:tabs>
        <w:ind w:firstLine="1134"/>
        <w:rPr>
          <w:rFonts w:ascii="Times New Roman" w:eastAsia="Times New Roman" w:hAnsi="Times New Roman" w:cs="Times New Roman"/>
          <w:b/>
          <w:sz w:val="24"/>
          <w:szCs w:val="20"/>
          <w:lang w:eastAsia="pt-BR"/>
        </w:rPr>
      </w:pPr>
      <w:r w:rsidRPr="00612B42">
        <w:rPr>
          <w:rFonts w:ascii="Times New Roman" w:eastAsia="Times New Roman" w:hAnsi="Times New Roman" w:cs="Times New Roman"/>
          <w:b/>
          <w:sz w:val="24"/>
          <w:szCs w:val="20"/>
          <w:lang w:eastAsia="pt-BR"/>
        </w:rPr>
        <w:t>O PRESIDENTE DA REPÚBLICA</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Faço saber que o Congresso Nacional decreta e eu sanciono a seguinte Lei: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Art. 1º São inelegíveis: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 - para qualquer cargo: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os inalistáveis e os analfabetos; </w:t>
      </w:r>
    </w:p>
    <w:p w:rsidR="00E16E96" w:rsidRPr="00612B42" w:rsidRDefault="00E16E96" w:rsidP="00E16E96">
      <w:pPr>
        <w:ind w:firstLine="1134"/>
        <w:rPr>
          <w:rFonts w:ascii="Times New Roman" w:eastAsia="Times New Roman" w:hAnsi="Times New Roman" w:cs="Times New Roman"/>
          <w:i/>
          <w:sz w:val="24"/>
          <w:szCs w:val="20"/>
          <w:lang w:eastAsia="pt-BR"/>
        </w:rPr>
      </w:pPr>
      <w:r w:rsidRPr="00612B42">
        <w:rPr>
          <w:rFonts w:ascii="Times New Roman" w:eastAsia="Times New Roman" w:hAnsi="Times New Roman" w:cs="Times New Roman"/>
          <w:sz w:val="24"/>
          <w:szCs w:val="20"/>
          <w:lang w:eastAsia="pt-BR"/>
        </w:rPr>
        <w:t xml:space="preserve">b) os membros do Congresso Nacional, das Assembléias Legislativas, da Câmara Legislativa e das Câmaras Municipais, que hajam perdido os respectivos mandatos por infringência do disposto nos incisos I e II do art. 55 da Constituição Federal, dos dispositivos equivalentes sobre perda de mandato das Constituições Estaduais e Leis Orgânicas dos Municípios e do Distrito Federal, para as eleições que se realizarem durante o período remanescente do mandato para o qual foram eleitos e nos oito anos subseqüentes ao término da legislatura. </w:t>
      </w:r>
      <w:hyperlink r:id="rId8" w:history="1">
        <w:r w:rsidRPr="00612B42">
          <w:rPr>
            <w:rFonts w:ascii="Times New Roman" w:eastAsia="Times New Roman" w:hAnsi="Times New Roman" w:cs="Times New Roman"/>
            <w:i/>
            <w:color w:val="0000FF"/>
            <w:sz w:val="24"/>
            <w:szCs w:val="20"/>
            <w:u w:val="single"/>
            <w:lang w:eastAsia="pt-BR"/>
          </w:rPr>
          <w:t>(Alínea com redação dada pela Lei Complementar nº 81, de 13/41994)</w:t>
        </w:r>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c) o Governador e o Vice-Governador de Estado e do Distrito Federal e o Prefeito e o Vice-Prefeito que perderem seus cargos eletivos por infringência a dispositivo da Constituição Estadual, da Lei Orgânica do Distrito Federal ou da Lei Orgânica do Município, para as eleições que se realizarem durante o período remanescente e nos 8 (oito) anos subsequentes ao término do mandato para o qual tenham sido eleitos; </w:t>
      </w:r>
      <w:hyperlink r:id="rId9"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d) os que tenham contra sua pessoa representação julgada procedente pela Justiça Eleitoral, em decisão transitada em julgado ou proferida por órgão colegiado, em processo de apuração de abuso do poder econômico ou político, para a eleição na qual concorrem ou tenham sido diplomados, bem como para as que se realizarem nos 8 (oito) anos seguintes; </w:t>
      </w:r>
      <w:hyperlink r:id="rId10"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e) os que forem condenados, em decisão transitada em julgado ou proferida por órgão judicial colegiado, desde a condenação até o transcurso do prazo de 8 (oito) anos após o cumprimento da pena, pelos crimes:</w:t>
      </w:r>
      <w:r w:rsidRPr="00612B42">
        <w:rPr>
          <w:rFonts w:ascii="Times New Roman" w:eastAsia="Times New Roman" w:hAnsi="Times New Roman" w:cs="Times New Roman"/>
          <w:i/>
          <w:sz w:val="24"/>
          <w:szCs w:val="20"/>
          <w:lang w:eastAsia="pt-BR"/>
        </w:rPr>
        <w:t xml:space="preserve"> </w:t>
      </w:r>
      <w:hyperlink r:id="rId11"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 contra a economia popular, a fé pública, a administração pública e o patrimônio público; </w:t>
      </w:r>
      <w:hyperlink r:id="rId12" w:history="1">
        <w:r w:rsidRPr="00612B42">
          <w:rPr>
            <w:rFonts w:ascii="Times New Roman" w:eastAsia="Times New Roman" w:hAnsi="Times New Roman" w:cs="Times New Roman"/>
            <w:i/>
            <w:color w:val="0000FF"/>
            <w:sz w:val="24"/>
            <w:szCs w:val="20"/>
            <w:u w:val="single"/>
            <w:lang w:eastAsia="pt-BR"/>
          </w:rPr>
          <w:t>( Item acrescido pela Lei Complementar nº 135, de 4/6/2010)</w:t>
        </w:r>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2. contra o patrimônio privado, o sistema financeiro, o mercado de capitais e os previstos na lei que regula a falência; </w:t>
      </w:r>
      <w:hyperlink r:id="rId13" w:history="1">
        <w:hyperlink r:id="rId14"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3. contra o meio ambiente e a saúde pública;</w:t>
      </w:r>
      <w:hyperlink r:id="rId15" w:history="1">
        <w:hyperlink r:id="rId16"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4. eleitorais, para os quais a lei comine pena privativa de liberdade; </w:t>
      </w:r>
      <w:hyperlink r:id="rId17" w:history="1">
        <w:hyperlink r:id="rId18"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5. de abuso de autoridade, nos casos em que houver condenação à perda do cargo ou à inabilitação para o exercício de função pública; </w:t>
      </w:r>
      <w:hyperlink r:id="rId19" w:history="1">
        <w:hyperlink r:id="rId20"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6. de lavagem ou ocultação de bens, direitos e valores; </w:t>
      </w:r>
      <w:hyperlink r:id="rId21" w:history="1">
        <w:hyperlink r:id="rId22"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7. de tráfico de entorpecentes e drogas afins, racismo, tortura, terrorismo e hediondos;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8. de redução à condição análoga à de escravo; </w:t>
      </w:r>
      <w:hyperlink r:id="rId23" w:history="1">
        <w:hyperlink r:id="rId24"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lastRenderedPageBreak/>
        <w:t xml:space="preserve">9. contra a vida e a dignidade sexual; e </w:t>
      </w:r>
      <w:hyperlink r:id="rId25" w:history="1">
        <w:hyperlink r:id="rId26" w:history="1">
          <w:r w:rsidRPr="00612B42">
            <w:rPr>
              <w:rFonts w:ascii="Times New Roman" w:eastAsia="Times New Roman" w:hAnsi="Times New Roman" w:cs="Times New Roman"/>
              <w:i/>
              <w:color w:val="0000FF"/>
              <w:sz w:val="24"/>
              <w:szCs w:val="20"/>
              <w:u w:val="single"/>
              <w:lang w:eastAsia="pt-BR"/>
            </w:rPr>
            <w:t>(</w:t>
          </w:r>
          <w:bookmarkStart w:id="17" w:name="_Hlt263700337"/>
          <w:r w:rsidRPr="00612B42">
            <w:rPr>
              <w:rFonts w:ascii="Times New Roman" w:eastAsia="Times New Roman" w:hAnsi="Times New Roman" w:cs="Times New Roman"/>
              <w:i/>
              <w:color w:val="0000FF"/>
              <w:sz w:val="24"/>
              <w:szCs w:val="20"/>
              <w:u w:val="single"/>
              <w:lang w:eastAsia="pt-BR"/>
            </w:rPr>
            <w:t>I</w:t>
          </w:r>
          <w:bookmarkEnd w:id="17"/>
          <w:r w:rsidRPr="00612B42">
            <w:rPr>
              <w:rFonts w:ascii="Times New Roman" w:eastAsia="Times New Roman" w:hAnsi="Times New Roman" w:cs="Times New Roman"/>
              <w:i/>
              <w:color w:val="0000FF"/>
              <w:sz w:val="24"/>
              <w:szCs w:val="20"/>
              <w:u w:val="single"/>
              <w:lang w:eastAsia="pt-BR"/>
            </w:rPr>
            <w:t>tem acrescido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10. praticados por organização criminosa, quadrilha ou bando;</w:t>
      </w:r>
      <w:hyperlink r:id="rId27" w:history="1">
        <w:r w:rsidRPr="00612B42">
          <w:rPr>
            <w:rFonts w:ascii="Times New Roman" w:eastAsia="Times New Roman" w:hAnsi="Times New Roman" w:cs="Times New Roman"/>
            <w:i/>
            <w:sz w:val="24"/>
            <w:szCs w:val="20"/>
            <w:lang w:eastAsia="pt-BR"/>
          </w:rPr>
          <w:t xml:space="preserve"> </w:t>
        </w:r>
        <w:hyperlink r:id="rId28" w:history="1">
          <w:r w:rsidRPr="00612B42">
            <w:rPr>
              <w:rFonts w:ascii="Times New Roman" w:eastAsia="Times New Roman" w:hAnsi="Times New Roman" w:cs="Times New Roman"/>
              <w:i/>
              <w:color w:val="0000FF"/>
              <w:sz w:val="24"/>
              <w:szCs w:val="20"/>
              <w:u w:val="single"/>
              <w:lang w:eastAsia="pt-BR"/>
            </w:rPr>
            <w:t>(Item acrescido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f) os que forem declarados indignos do oficialato, ou com ele incompatíveis, pelo prazo de 8 (oito) anos; </w:t>
      </w:r>
      <w:hyperlink r:id="rId29"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g) os que tiverem suas contas relativas ao exercício de cargos ou funções públicas rejeitadas por irregularidade insanável que configure ato doloso de improbidade administrativa, e por decisão irrecorrível do órgão competente, salvo se esta houver sido suspensa ou anulada pelo Poder Judiciário, para as eleições que se realizarem nos 8 (oito) anos seguintes, contados a partir da data da decisão, aplicando-se o disposto no inciso II do art. 71 da Constituição Federal, a todos os ordenadores de despesa, sem exclusão de mandatários que houverem agido nessa condição;</w:t>
      </w:r>
      <w:r w:rsidRPr="00612B42">
        <w:rPr>
          <w:rFonts w:ascii="Times New Roman" w:eastAsia="Times New Roman" w:hAnsi="Times New Roman" w:cs="Times New Roman"/>
          <w:i/>
          <w:sz w:val="24"/>
          <w:szCs w:val="20"/>
          <w:lang w:eastAsia="pt-BR"/>
        </w:rPr>
        <w:t xml:space="preserve"> </w:t>
      </w:r>
      <w:hyperlink r:id="rId30"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h) os detentores de cargo na administração pública direta, indireta ou fundacional, que beneficiarem a si ou a terceiros, pelo abuso do poder econômico ou político, que forem condenados em decisão transitada em julgado ou proferida por órgão judicial colegiado, para a eleição na qual concorrem ou tenham sido diplomados, bem como para as que se realizarem nos 8 (oito) anos seguintes; </w:t>
      </w:r>
      <w:hyperlink r:id="rId31" w:history="1">
        <w:r w:rsidRPr="00612B42">
          <w:rPr>
            <w:rFonts w:ascii="Times New Roman" w:eastAsia="Times New Roman" w:hAnsi="Times New Roman" w:cs="Times New Roman"/>
            <w:i/>
            <w:color w:val="0000FF"/>
            <w:sz w:val="24"/>
            <w:szCs w:val="20"/>
            <w:u w:val="single"/>
            <w:lang w:eastAsia="pt-BR"/>
          </w:rPr>
          <w:t>(Alínea com redação dada pela Lei Complementar nº 135, de 4/6/2010)</w:t>
        </w:r>
      </w:hyperlink>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i) os que, em estabelecimentos de crédito, financiamento ou seguro, que tenham sido ou estejam sendo objeto de processo de liquidação judicial ou extrajudicial, hajam exercido, nos 12 (doze) meses anteriores à respectiva decretação, cargo ou função de direção, administração ou representação, enquanto não forem exonerados de qualquer responsabilidade;</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j) 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pelo prazo de 8 (oito) anos a contar da eleição; </w:t>
      </w:r>
      <w:hyperlink r:id="rId32" w:history="1">
        <w:hyperlink r:id="rId33"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k) o Presidente da República, o Governador de Estado e do Distrito Federal, o Prefeito, os membros do Congresso Nacional, das Assembleias Legislativas, da Câmara Legislativa, das Câmaras Municipais, que renunciarem a seus mandatos desde o oferecimento de representação ou petição capaz de autorizar a abertura de processo por infringência a dispositivo da Constituição Federal, da Constituição Estadual, da Lei Orgânica do Distrito Federal ou da Lei Orgânica do Município, para as eleições que se realizarem durante o período remanescente do mandato para o qual foram eleitos e nos 8 (oito) anos subsequentes ao término da legislatura;</w:t>
      </w:r>
      <w:r w:rsidRPr="00612B42">
        <w:rPr>
          <w:rFonts w:ascii="Times New Roman" w:eastAsia="Times New Roman" w:hAnsi="Times New Roman" w:cs="Times New Roman"/>
          <w:i/>
          <w:sz w:val="24"/>
          <w:szCs w:val="20"/>
          <w:lang w:eastAsia="pt-BR"/>
        </w:rPr>
        <w:t xml:space="preserve"> </w:t>
      </w:r>
      <w:hyperlink r:id="rId34" w:history="1">
        <w:hyperlink r:id="rId35"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l) os que forem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transcurso do prazo de 8 (oito) anos após o cumprimento da pena;</w:t>
      </w:r>
      <w:r w:rsidRPr="00612B42">
        <w:rPr>
          <w:rFonts w:ascii="Times New Roman" w:eastAsia="Times New Roman" w:hAnsi="Times New Roman" w:cs="Times New Roman"/>
          <w:i/>
          <w:sz w:val="24"/>
          <w:szCs w:val="20"/>
          <w:lang w:eastAsia="pt-BR"/>
        </w:rPr>
        <w:t xml:space="preserve"> </w:t>
      </w:r>
      <w:hyperlink r:id="rId36" w:history="1">
        <w:hyperlink r:id="rId37"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m) os que forem excluídos do exercício da profissão, por decisão sancionatória do órgão profissional competente, em decorrência de infração ético-profissional, pelo prazo de 8 (oito) anos, salvo se o ato houver sido anulado ou suspenso pelo Poder Judiciário;</w:t>
      </w:r>
      <w:r w:rsidRPr="00612B42">
        <w:rPr>
          <w:rFonts w:ascii="Times New Roman" w:eastAsia="Times New Roman" w:hAnsi="Times New Roman" w:cs="Times New Roman"/>
          <w:i/>
          <w:sz w:val="24"/>
          <w:szCs w:val="20"/>
          <w:lang w:eastAsia="pt-BR"/>
        </w:rPr>
        <w:t xml:space="preserve"> </w:t>
      </w:r>
      <w:hyperlink r:id="rId38" w:history="1">
        <w:hyperlink r:id="rId39"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lastRenderedPageBreak/>
        <w:t>n) os que forem condenados, em decisão transitada em julgado ou proferida por órgão judicial colegiado, em razão de terem desfeito ou simulado desfazer vínculo conjugal ou de união estável para evitar caracterização de inelegibilidade, pelo prazo de 8 (oito) anos após a decisão que reconhecer a fraude;</w:t>
      </w:r>
      <w:r w:rsidRPr="00612B42">
        <w:rPr>
          <w:rFonts w:ascii="Times New Roman" w:eastAsia="Times New Roman" w:hAnsi="Times New Roman" w:cs="Times New Roman"/>
          <w:i/>
          <w:sz w:val="24"/>
          <w:szCs w:val="20"/>
          <w:lang w:eastAsia="pt-BR"/>
        </w:rPr>
        <w:t xml:space="preserve"> </w:t>
      </w:r>
      <w:hyperlink r:id="rId40" w:history="1">
        <w:hyperlink r:id="rId41"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o) os que forem demitidos do serviço público em decorrência de processo administrativo ou judicial, pelo prazo de 8 (oito) anos, contado da decisão, salvo se o ato houver sido suspenso ou anulado pelo Poder Judiciário; </w:t>
      </w:r>
      <w:hyperlink r:id="rId42" w:history="1">
        <w:hyperlink r:id="rId43"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p) a pessoa física e os dirigentes de pessoas jurídicas responsáveis por doações eleitorais tidas por ilegais por decisão transitada em julgado ou proferida por órgão colegiado da Justiça Eleitoral, pelo prazo de 8 (oito) anos após a decisão, observando se o procedimento previsto no art. 22;</w:t>
      </w:r>
      <w:r w:rsidRPr="00612B42">
        <w:rPr>
          <w:rFonts w:ascii="Times New Roman" w:eastAsia="Times New Roman" w:hAnsi="Times New Roman" w:cs="Times New Roman"/>
          <w:i/>
          <w:sz w:val="24"/>
          <w:szCs w:val="20"/>
          <w:lang w:eastAsia="pt-BR"/>
        </w:rPr>
        <w:t xml:space="preserve"> </w:t>
      </w:r>
      <w:hyperlink r:id="rId44" w:history="1">
        <w:hyperlink r:id="rId45"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q) os magistrados e os membros do Ministério Público que forem aposentados compulsoriamente por decisão sancionatória, que tenham perdido o cargo por sentença ou que tenham pedido exoneração ou aposentadoria voluntária na pendência de processo administrativo disciplinar, pelo prazo de 8 (oito) anos;</w:t>
      </w:r>
      <w:r w:rsidRPr="00612B42">
        <w:rPr>
          <w:rFonts w:ascii="Times New Roman" w:eastAsia="Times New Roman" w:hAnsi="Times New Roman" w:cs="Times New Roman"/>
          <w:i/>
          <w:sz w:val="24"/>
          <w:szCs w:val="20"/>
          <w:lang w:eastAsia="pt-BR"/>
        </w:rPr>
        <w:t xml:space="preserve"> </w:t>
      </w:r>
      <w:hyperlink r:id="rId46" w:history="1">
        <w:hyperlink r:id="rId47" w:history="1">
          <w:r w:rsidRPr="00612B42">
            <w:rPr>
              <w:rFonts w:ascii="Times New Roman" w:eastAsia="Times New Roman" w:hAnsi="Times New Roman" w:cs="Times New Roman"/>
              <w:i/>
              <w:color w:val="0000FF"/>
              <w:sz w:val="24"/>
              <w:szCs w:val="20"/>
              <w:u w:val="single"/>
              <w:lang w:eastAsia="pt-BR"/>
            </w:rPr>
            <w:t>(Alínea acrescida pela Lei Complementar nº 135, de 4/6/2010)</w:t>
          </w:r>
        </w:hyperlink>
      </w:hyperlink>
      <w:r w:rsidRPr="00612B42">
        <w:rPr>
          <w:rFonts w:ascii="Times New Roman" w:eastAsia="Times New Roman" w:hAnsi="Times New Roman" w:cs="Times New Roman"/>
          <w:sz w:val="24"/>
          <w:szCs w:val="20"/>
          <w:lang w:eastAsia="pt-BR"/>
        </w:rPr>
        <w:t xml:space="preserv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II - para Presidente e Vice-Presidente da República: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até 6 (seis) meses depois de afastados definitivamente de seus cargos e funções: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 os Ministros de Estado: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2. os chefes dos órgãos de assessoramento direto, civil e militar, da Presidência da República;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3. o chefe do órgão de assessoramento de informações da Presidência da República;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4. o chefe do Estado-Maior das Forças Armadas;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5. o Advogado-Geral da União e o Consultor-Geral da República;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6. os chefes do Estado-Maior da Marinha, do Exército e da Aeronáutica;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7. os Comandantes do Exército, Marinha e Aeronáutica;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8. os Magistrados;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9. os Presidentes, Diretores e Superintendentes de autarquias, empresas públicas, sociedades de economia mista e fundações públicas e as mantidas pelo poder público;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10. os Governadores de Estado, do Distrito Federal e de Territórios;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11. os Interventores Federais;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12, os Secretários de Estado;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13. os Prefeitos Municipais;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14. os membros do Tribunal de Contas da União, dos Estados e do Distrito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15. o Diretor-Geral do Departamento de Polícia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16. os Secretários-Gerais, os Secretários-Executivos, os Secretários Nacionais, os Secretários Federais dos Ministérios e as pessoas que ocupem cargos equivalentes;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b) os que tenham exercido, nos 6 (seis) meses anteriores à eleição, nos Estados, no Distrito Federal, Territórios e em qualquer dos poderes da União, cargo ou função, de nomeação pelo Presidente da República, sujeito à aprovação prévia do Senado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c) (Vetado);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d) os que, até 6 (seis) meses antes da eleição, tiverem competência ou interesse, direta, indireta ou eventual, no lançamento, arrecadação ou fiscalização de impostos, taxas e contribuições de caráter obrigatório, inclusive parafiscais, ou para aplicar multas relacionadas com essas atividades;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lastRenderedPageBreak/>
        <w:t xml:space="preserve">e) os que, até 6 (seis) meses antes da eleição, tenham exercido cargo ou função de direção, administração ou representação nas empresas de que tratam os arts. 3° e 5° da Lei n° 4.137, de </w:t>
      </w:r>
      <w:smartTag w:uri="urn:schemas-microsoft-com:office:smarttags" w:element="date">
        <w:smartTagPr>
          <w:attr w:name="ls" w:val="trans"/>
          <w:attr w:name="Month" w:val="9"/>
          <w:attr w:name="Day" w:val="10"/>
          <w:attr w:name="Year" w:val="19"/>
        </w:smartTagPr>
        <w:r w:rsidRPr="00612B42">
          <w:rPr>
            <w:rFonts w:ascii="Times New Roman" w:eastAsia="Times New Roman" w:hAnsi="Times New Roman" w:cs="Times New Roman"/>
            <w:sz w:val="24"/>
            <w:szCs w:val="20"/>
            <w:lang w:eastAsia="pt-BR"/>
          </w:rPr>
          <w:t>10 de setembro de 19</w:t>
        </w:r>
      </w:smartTag>
      <w:r w:rsidRPr="00612B42">
        <w:rPr>
          <w:rFonts w:ascii="Times New Roman" w:eastAsia="Times New Roman" w:hAnsi="Times New Roman" w:cs="Times New Roman"/>
          <w:sz w:val="24"/>
          <w:szCs w:val="20"/>
          <w:lang w:eastAsia="pt-BR"/>
        </w:rPr>
        <w:t xml:space="preserve">62, quando, pelo âmbito e natureza de suas atividades, possam tais empresas influir na economia nacional;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f) os que, detendo o controle de empresas ou grupo de empresas que atuem no Brasil, nas condições monopolísticas previstas no parágrafo único do art. 5° da lei citada na alínea anterior, não apresentarem à Justiça Eleitoral, até 6 (seis) meses antes do pleito, a prova de que fizeram cessar o abuso apurado, do poder econômico, ou de que transferiram, por força regular, o controle de referidas empresas ou grupo de empresas;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g) os que tenham, dentro dos 4 (quatro) meses anteriores ao pleito, ocupado cargo ou função de direção, administração ou representação em entidades representativas de classe, mantidas, total ou parcialmente, por contribuições impostas pelo Poder Público ou com recursos arrecadados e repassados pela Previdência Social;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h) os que, até 6 (seis) meses depois de afastados das funções, tenham exercido cargo de Presidente, Diretor ou Superintendente de sociedades com objetivos exclusivos de operações financeiras e façam publicamente apelo à poupança e ao crédito, inclusive através de cooperativas e da empresa ou estabelecimentos que gozem, sob qualquer forma, de vantagens asseguradas pelo poder público, salvo se decorrentes de contratos que obedeçam a cláusulas uniformes;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 os que, dentro de 6 (seis) meses anteriores ao pleito, hajam exercido cargo ou função de direção, administração ou representação em pessoa jurídica ou em empresa que mantenha contrato de execução de obras, de prestação de serviços ou de fornecimento de bens com órgão do Poder Público ou sob seu controle, salvo no caso de contrato que obedeça a cláusulas uniformes;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j) os que, membros do Ministério Público, não se tenham afastado das suas funções até 6 (seis)) meses anteriores ao pleito;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l) os que, servidores públicos, estatutários ou não, dos órgãos ou entidades da Administração direta ou indireta da União, dos Estados, do Distrito Federal, dos Municípios e dos Territórios, inclusive das fundações mantidas pelo Poder Público, não se afastarem até 3 (três) meses anteriores ao pleito, garantido o direito à percepção dos seus vencimentos integrais;</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III - para Governador e Vice-Governador de Estado e do Distrito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os inelegíveis para os cargos de Presidente e Vice-Presidente da República especificados na alínea </w:t>
      </w:r>
      <w:r w:rsidRPr="00612B42">
        <w:rPr>
          <w:rFonts w:ascii="Times New Roman" w:eastAsia="Times New Roman" w:hAnsi="Times New Roman" w:cs="Times New Roman"/>
          <w:i/>
          <w:sz w:val="24"/>
          <w:szCs w:val="20"/>
          <w:lang w:eastAsia="pt-BR"/>
        </w:rPr>
        <w:t>a</w:t>
      </w:r>
      <w:r w:rsidRPr="00612B42">
        <w:rPr>
          <w:rFonts w:ascii="Times New Roman" w:eastAsia="Times New Roman" w:hAnsi="Times New Roman" w:cs="Times New Roman"/>
          <w:sz w:val="24"/>
          <w:szCs w:val="20"/>
          <w:lang w:eastAsia="pt-BR"/>
        </w:rPr>
        <w:t xml:space="preserve"> do inciso II deste artigo e, no tocante às demais alíneas, quando se tratar de repartição pública, associação ou empresas que operem no território do Estado ou do Distrito Federal, observados os mesmos prazos;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b) até 6 (seis) meses depois de afastados definitivamente de seus cargos ou funções: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1. os chefes dos Gabinetes Civil e Militar do Governador do Estado ou do Distrito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2. os comandantes do Distrito Naval, Região Militar e Zona Aérea;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3. os diretores de órgãos estaduais ou sociedades de assistência aos Municípios;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4. os secretários da administração municipal ou membros de órgãos congêneres;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IV - para Prefeito e Vice-Prefeito: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no que lhes for aplicável, por identidade de situações, os inelegíveis para os cargos de Presidente e Vice-Presidente da República, Governador e Vice-Governador de Estado e do Distrito Federal, observado o prazo de 4 (quatro) meses para a desincompatibilização;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b) os membros do Ministério Público e Defensoria Pública em exercício na Comarca, nos 4 (quatro) meses anteriores ao pleito, sem prejuízo dos vencimentos integrais;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lastRenderedPageBreak/>
        <w:t xml:space="preserve">c) as autoridades policiais, civis ou militares, com exercício no Município, nos 4 (quatro) meses anteriores ao pleito;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V - para o Senado Federal: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os inelegíveis para os cargos de Presidente e Vice-Presidente da República especificados na alínea </w:t>
      </w:r>
      <w:r w:rsidRPr="00612B42">
        <w:rPr>
          <w:rFonts w:ascii="Times New Roman" w:eastAsia="Times New Roman" w:hAnsi="Times New Roman" w:cs="Times New Roman"/>
          <w:i/>
          <w:sz w:val="24"/>
          <w:szCs w:val="20"/>
          <w:lang w:eastAsia="pt-BR"/>
        </w:rPr>
        <w:t>a</w:t>
      </w:r>
      <w:r w:rsidRPr="00612B42">
        <w:rPr>
          <w:rFonts w:ascii="Times New Roman" w:eastAsia="Times New Roman" w:hAnsi="Times New Roman" w:cs="Times New Roman"/>
          <w:sz w:val="24"/>
          <w:szCs w:val="20"/>
          <w:lang w:eastAsia="pt-BR"/>
        </w:rPr>
        <w:t xml:space="preserve"> do inciso II deste artigo e, no tocante às demais alíneas, quando se tratar de repartição pública, associação ou empresa que opere no território do Estado, observados os mesmos prazos;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b) em cada Estado e no Distrito Federal, os inelegíveis para os cargos de Governador e Vice-Governador, nas mesmas condições estabelecidas, observados os mesmos prazos;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VI - para a Câmara dos Deputados, Assembléia Legislativa e Câmara Legislativa, no que lhes for aplicável, por identidade de situações, os inelegíveis para o Senado Federal, nas mesmas condições estabelecidas, observados os mesmos prazos;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VII - para a Câmara Municipal: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 no que lhes for aplicável, por identidade de situações, os inelegíveis para o Senado Federal e para a Câmara dos Deputados, observado o prazo de 6 (seis) meses para a desincompatibilização;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b) em cada Município, os inelegíveis para os cargos de Prefeito e Vice-Prefeito, observado o prazo de 6 (seis) meses para a desincompatibilização.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1º Para concorrência a outros cargos, o Presidente da República, os Governadores de Estado e do Distrito Federal e os Prefeitos devem renunciar aos respectivos mandatos até 6 (seis) meses antes do pleito.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2º O Vice-Presidente, o Vice-Governador e o Vice-Prefeito poderão candidatar-se a outros cargos, preservando os seus mandatos respectivos, desde que, nos últimos 6 (seis) meses anteriores ao pleito, não tenham sucedido ou substituído o titular.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3º São inelegíveis, no território de jurisdição do titular, o cônjuge e os parentes, consangüíneos ou afins, até o segundo grau ou por adoção, do Presidente da República, de Governador de Estado ou Território, do Distrito Federal, de Prefeito ou de quem os haja substituído dentro dos 6 (seis) meses anteriores ao pleito, salvo se já titular de mandato eletivo e candidato à reeleição.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4º A inelegibilidade prevista na alínea e do inciso I deste artigo não se aplica aos crimes culposos e àqueles definidos em lei como de menor potencial ofensivo, nem aos crimes de ação penal privada. </w:t>
      </w:r>
      <w:hyperlink r:id="rId48" w:history="1">
        <w:r w:rsidRPr="00612B42">
          <w:rPr>
            <w:rFonts w:ascii="Times New Roman" w:eastAsia="Times New Roman" w:hAnsi="Times New Roman" w:cs="Times New Roman"/>
            <w:i/>
            <w:color w:val="0000FF"/>
            <w:sz w:val="24"/>
            <w:szCs w:val="20"/>
            <w:u w:val="single"/>
            <w:lang w:eastAsia="pt-BR"/>
          </w:rPr>
          <w:t>(Parágrafo acrescido pela Lei Complementar nº 135, de 4/6/2010)</w:t>
        </w:r>
      </w:hyperlink>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5º A renúncia para atender à desincompatibilização com vistas a candidatura a cargo eletivo ou para assunção de mandato não gerará a inelegibilidade prevista na alínea k, a menos que a Justiça Eleitoral reconheça fraude ao disposto nesta Lei Complementar.</w:t>
      </w:r>
      <w:r w:rsidRPr="00612B42">
        <w:rPr>
          <w:rFonts w:ascii="Times New Roman" w:eastAsia="Times New Roman" w:hAnsi="Times New Roman" w:cs="Times New Roman"/>
          <w:i/>
          <w:sz w:val="24"/>
          <w:szCs w:val="20"/>
          <w:lang w:eastAsia="pt-BR"/>
        </w:rPr>
        <w:t xml:space="preserve"> </w:t>
      </w:r>
      <w:hyperlink r:id="rId49" w:history="1">
        <w:r w:rsidRPr="00612B42">
          <w:rPr>
            <w:rFonts w:ascii="Times New Roman" w:eastAsia="Times New Roman" w:hAnsi="Times New Roman" w:cs="Times New Roman"/>
            <w:i/>
            <w:color w:val="0000FF"/>
            <w:sz w:val="24"/>
            <w:szCs w:val="20"/>
            <w:u w:val="single"/>
            <w:lang w:eastAsia="pt-BR"/>
          </w:rPr>
          <w:t>(Parágrafo acrescido pela Lei Complementar nº 135, de 4/6/2010)</w:t>
        </w:r>
      </w:hyperlink>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Art. 2º Compete à Justiça Eleitoral conhecer e decidir as argüições de inelegibilidade.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Parágrafo único. A argüição de inelegibilidade será feita perante: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 - o Tribunal Superior Eleitoral, quando se tratar de candidato a Presidente ou Vice-Presidente da República;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II - os Tribunais Regionais Eleitorais, quando se tratar de candidato a Senador, Governador e Vice-Governador de Estado e do Distrito Federal, Deputado Federal, Deputado Estadual e Deputado Distrital;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III - os Juízes Eleitorais, quando se tratar de candidato a Prefeito, Vice-Prefeito e Vereador.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lastRenderedPageBreak/>
        <w:t xml:space="preserve">Art. 3º Caberá a qualquer candidato, a partido político, coligação ou ao Ministério Público, no prazo de 5 (cinco) dias, contados da publicação do pedido de registro do candidato, impugná-lo em petição fundamentada.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1º A impugnação, por parte do candidato, partido político ou coligação, não impede a ação do Ministério Público no mesmo sentido.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2º Não poderá impugnar o registro de candidato o representante do Ministério Público que, nos 4 (quatro) anos anteriores, tenha disputado cargo eletivo, integrado diretório de partido ou exercido atividade político-partidária. </w:t>
      </w:r>
    </w:p>
    <w:p w:rsidR="00E16E96" w:rsidRPr="00612B42" w:rsidRDefault="00E16E96" w:rsidP="00E16E96">
      <w:pPr>
        <w:tabs>
          <w:tab w:val="center" w:pos="4419"/>
          <w:tab w:val="right" w:pos="8838"/>
        </w:tabs>
        <w:ind w:firstLine="1134"/>
        <w:rPr>
          <w:rFonts w:ascii="Times New Roman" w:eastAsia="Times New Roman" w:hAnsi="Times New Roman" w:cs="Times New Roman"/>
          <w:sz w:val="24"/>
          <w:szCs w:val="20"/>
          <w:lang w:eastAsia="pt-BR"/>
        </w:rPr>
      </w:pPr>
      <w:r w:rsidRPr="00612B42">
        <w:rPr>
          <w:rFonts w:ascii="Times New Roman" w:eastAsia="Times New Roman" w:hAnsi="Times New Roman" w:cs="Times New Roman"/>
          <w:sz w:val="24"/>
          <w:szCs w:val="20"/>
          <w:lang w:eastAsia="pt-BR"/>
        </w:rPr>
        <w:t xml:space="preserve">§ 3º O impugnante especificará, desde logo, os meios de prova com que pretende demonstrar a veracidade do alegado, arrolando testemunhas, se for o caso, no máximo de 6 (seis). </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Pr="00612B42" w:rsidRDefault="00E16E96" w:rsidP="00E16E96">
      <w:pPr>
        <w:jc w:val="left"/>
        <w:rPr>
          <w:rFonts w:ascii="Times New Roman" w:eastAsia="Times New Roman" w:hAnsi="Times New Roman" w:cs="Times New Roman"/>
          <w:szCs w:val="20"/>
          <w:lang w:eastAsia="pt-BR"/>
        </w:rPr>
      </w:pPr>
      <w:r w:rsidRPr="00612B42">
        <w:rPr>
          <w:rFonts w:ascii="Times New Roman" w:eastAsia="Times New Roman" w:hAnsi="Times New Roman" w:cs="Times New Roman"/>
          <w:szCs w:val="20"/>
          <w:lang w:eastAsia="pt-BR"/>
        </w:rPr>
        <w:t>.....................................................................................................................................................................................</w:t>
      </w:r>
    </w:p>
    <w:p w:rsidR="00E16E96" w:rsidRDefault="00E16E96" w:rsidP="00E16E96">
      <w:pPr>
        <w:keepNext/>
        <w:suppressAutoHyphens/>
        <w:spacing w:before="100" w:after="100"/>
        <w:jc w:val="center"/>
        <w:rPr>
          <w:rFonts w:ascii="Times New Roman" w:eastAsia="Times New Roman" w:hAnsi="Times New Roman" w:cs="Times New Roman"/>
          <w:szCs w:val="20"/>
          <w:lang w:eastAsia="pt-BR"/>
        </w:rPr>
      </w:pPr>
    </w:p>
    <w:p w:rsidR="00E16E96" w:rsidRPr="00612B42" w:rsidRDefault="00E16E96" w:rsidP="00E16E96">
      <w:pPr>
        <w:keepNext/>
        <w:suppressAutoHyphens/>
        <w:spacing w:before="100" w:after="100"/>
        <w:jc w:val="center"/>
        <w:rPr>
          <w:rFonts w:ascii="Times New Roman" w:eastAsia="Times New Roman" w:hAnsi="Times New Roman" w:cs="Times New Roman"/>
          <w:b/>
          <w:kern w:val="1"/>
          <w:sz w:val="28"/>
          <w:szCs w:val="20"/>
          <w:lang w:eastAsia="pt-BR"/>
        </w:rPr>
      </w:pPr>
      <w:r w:rsidRPr="00612B42">
        <w:rPr>
          <w:rFonts w:ascii="Times New Roman" w:eastAsia="Times New Roman" w:hAnsi="Times New Roman" w:cs="Times New Roman"/>
          <w:b/>
          <w:kern w:val="1"/>
          <w:sz w:val="28"/>
          <w:szCs w:val="20"/>
          <w:lang w:eastAsia="pt-BR"/>
        </w:rPr>
        <w:t>RESOLUÇÃO Nº 17, de 1989</w:t>
      </w:r>
    </w:p>
    <w:p w:rsidR="00E16E96" w:rsidRPr="00612B42" w:rsidRDefault="00E16E96" w:rsidP="00E16E96">
      <w:pPr>
        <w:suppressAutoHyphens/>
        <w:jc w:val="left"/>
        <w:rPr>
          <w:rFonts w:ascii="Times New Roman" w:eastAsia="Times New Roman" w:hAnsi="Times New Roman" w:cs="Times New Roman"/>
          <w:szCs w:val="20"/>
          <w:lang w:eastAsia="ar-SA"/>
        </w:rPr>
      </w:pPr>
    </w:p>
    <w:p w:rsidR="00E16E96" w:rsidRPr="00612B42" w:rsidRDefault="00E16E96" w:rsidP="00E16E96">
      <w:pPr>
        <w:suppressAutoHyphens/>
        <w:ind w:left="4536"/>
        <w:rPr>
          <w:rFonts w:ascii="Times New Roman" w:eastAsia="Times New Roman" w:hAnsi="Times New Roman" w:cs="Times New Roman"/>
          <w:sz w:val="24"/>
          <w:lang w:eastAsia="ar-SA"/>
        </w:rPr>
      </w:pPr>
      <w:r w:rsidRPr="00612B42">
        <w:rPr>
          <w:rFonts w:ascii="Times New Roman" w:eastAsia="Times New Roman" w:hAnsi="Times New Roman" w:cs="Times New Roman"/>
          <w:sz w:val="24"/>
          <w:lang w:eastAsia="ar-SA"/>
        </w:rPr>
        <w:t>Aprova o Regimento Interno da Câmara dos Deputados</w:t>
      </w:r>
    </w:p>
    <w:p w:rsidR="00E16E96" w:rsidRPr="00612B42" w:rsidRDefault="00E16E96" w:rsidP="00E16E96">
      <w:pPr>
        <w:suppressAutoHyphens/>
        <w:jc w:val="left"/>
        <w:rPr>
          <w:rFonts w:ascii="Times New Roman" w:eastAsia="Times New Roman" w:hAnsi="Times New Roman" w:cs="Times New Roman"/>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 CÂMARA DOS DEPUTADOS, considerando a necessidade de adaptar o seu funcionamento e processo legislativo próprio à Constituição Federal,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RESOLVE: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1º O Regimento Interno da Câmara dos Deputados passa a vigorar na conformidade do texto anexo.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2º Dentro de um ano a contar da promulgação desta resolução, a Mesa elaborará e submeterá à aprovação do Plenário o projeto de Regulamento Interno das Comissões e a alteração dos Regulamentos Administrativo e de Pessoal, para ajustá-los às diretrizes estabelecidas no Regimento.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i/>
          <w:sz w:val="24"/>
          <w:szCs w:val="20"/>
          <w:lang w:eastAsia="ar-SA"/>
        </w:rPr>
        <w:t xml:space="preserve">Parágrafo único. </w:t>
      </w:r>
      <w:r w:rsidRPr="00612B42">
        <w:rPr>
          <w:rFonts w:ascii="Times New Roman" w:eastAsia="Times New Roman" w:hAnsi="Times New Roman" w:cs="Times New Roman"/>
          <w:sz w:val="24"/>
          <w:szCs w:val="20"/>
          <w:lang w:eastAsia="ar-SA"/>
        </w:rPr>
        <w:t xml:space="preserve">Ficam mantidas as normas administrativas em vigor, no que não contrarie o anexo Regimento, e convalidados os atos praticados pela Mesa no período de 1º de fevereiro de 1987, data da instalação da Assembléia Nacional Constituinte, até o início da vigência desta resolução.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3º A Mesa apresentará projeto de resolução sobre o Código de Ética e Decoro Parlamentar. </w:t>
      </w:r>
      <w:hyperlink r:id="rId50" w:history="1">
        <w:r w:rsidRPr="00612B42">
          <w:rPr>
            <w:rFonts w:ascii="Times New Roman" w:eastAsia="Times New Roman" w:hAnsi="Times New Roman" w:cs="Times New Roman"/>
            <w:i/>
            <w:color w:val="0000FF"/>
            <w:sz w:val="24"/>
            <w:szCs w:val="20"/>
            <w:u w:val="single"/>
            <w:lang w:eastAsia="ar-SA"/>
          </w:rPr>
          <w:t>(Vide Resolução nº 25, de 2001)</w:t>
        </w:r>
      </w:hyperlink>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4º Ficam mantidas, até o final da sessão legislativa em curso, com seus atuais Presidente e Vice-Presidentes, as Comissões Permanentes criadas e organizadas na forma da Resolução nº 5, de 1989, que terão competência em relação às matérias das Comissões que lhes sejam correspondentes ou com as quais tenham maior afinidade, conforme discriminação constante do texto regimental anexo (art. 32). </w:t>
      </w:r>
      <w:hyperlink r:id="rId51" w:history="1">
        <w:r w:rsidRPr="00612B42">
          <w:rPr>
            <w:rFonts w:ascii="Times New Roman" w:eastAsia="Times New Roman" w:hAnsi="Times New Roman" w:cs="Times New Roman"/>
            <w:i/>
            <w:color w:val="0000FF"/>
            <w:sz w:val="24"/>
            <w:szCs w:val="20"/>
            <w:u w:val="single"/>
            <w:lang w:eastAsia="ar-SA"/>
          </w:rPr>
          <w:t>(Vide Resolução nº 20, de 2004)</w:t>
        </w:r>
      </w:hyperlink>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 1º Somente serão apreciadas conclusivamente pelas Comissões, na conformidade do art. 24, II, do novo Regimento, as proposições distribuídas a partir do início da vigência desta Resolução.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 2º Excetuam-se do prescrito no parágrafo anterior os projetos em trâmite na Casa, pertinentes ao cumprimento dos arts. 50 e 59 do Ato das Disposições Constitucionais Transitórias, em relação aos quais o Presidente da Câmara abrirá o prazo de cinco sessões </w:t>
      </w:r>
      <w:r w:rsidRPr="00612B42">
        <w:rPr>
          <w:rFonts w:ascii="Times New Roman" w:eastAsia="Times New Roman" w:hAnsi="Times New Roman" w:cs="Times New Roman"/>
          <w:sz w:val="24"/>
          <w:szCs w:val="20"/>
          <w:lang w:eastAsia="ar-SA"/>
        </w:rPr>
        <w:lastRenderedPageBreak/>
        <w:t xml:space="preserve">para a apresentação de emendas nas Comissões incumbidas de examinar o mérito das referidas proposições.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Art. 5º Ficam mantidas, até o final da legislatura em curso, as lideranças constituídas, na forma das disposições regimentais anteriores, até a data da promulgação do Regimento Interno.</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6º Até 15 de março de 1990, constitui a Maioria a legenda ou composição partidária integrada pelo maior número de representantes, considerando-se Minoria a representação imediatamente inferior.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7º Esta resolução entra em vigor na data de sua publicação.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8º Revogam-se a Resolução nº 30, de 1972, suas alterações e demais disposições em contrário.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993"/>
        <w:jc w:val="left"/>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Brasília, 21 de setembro de 1989. - </w:t>
      </w:r>
      <w:r w:rsidRPr="00612B42">
        <w:rPr>
          <w:rFonts w:ascii="Times New Roman" w:eastAsia="Times New Roman" w:hAnsi="Times New Roman" w:cs="Times New Roman"/>
          <w:i/>
          <w:sz w:val="24"/>
          <w:szCs w:val="20"/>
          <w:lang w:eastAsia="ar-SA"/>
        </w:rPr>
        <w:t xml:space="preserve">Paes de Andrade, </w:t>
      </w:r>
      <w:r w:rsidRPr="00612B42">
        <w:rPr>
          <w:rFonts w:ascii="Times New Roman" w:eastAsia="Times New Roman" w:hAnsi="Times New Roman" w:cs="Times New Roman"/>
          <w:sz w:val="24"/>
          <w:szCs w:val="20"/>
          <w:lang w:eastAsia="ar-SA"/>
        </w:rPr>
        <w:t>Presidente.</w:t>
      </w:r>
    </w:p>
    <w:p w:rsidR="00A30291" w:rsidRDefault="00A30291" w:rsidP="00E16E96">
      <w:pPr>
        <w:suppressAutoHyphens/>
        <w:jc w:val="center"/>
        <w:rPr>
          <w:rFonts w:ascii="Times New Roman" w:eastAsia="Times New Roman" w:hAnsi="Times New Roman" w:cs="Times New Roman"/>
          <w:b/>
          <w:sz w:val="24"/>
          <w:szCs w:val="20"/>
          <w:lang w:eastAsia="ar-SA"/>
        </w:rPr>
      </w:pPr>
    </w:p>
    <w:p w:rsidR="00E16E96" w:rsidRPr="00612B42" w:rsidRDefault="00E16E96" w:rsidP="00E16E96">
      <w:pPr>
        <w:suppressAutoHyphens/>
        <w:jc w:val="center"/>
        <w:rPr>
          <w:rFonts w:ascii="Times New Roman" w:eastAsia="Times New Roman" w:hAnsi="Times New Roman" w:cs="Times New Roman"/>
          <w:b/>
          <w:sz w:val="24"/>
          <w:szCs w:val="20"/>
          <w:lang w:eastAsia="ar-SA"/>
        </w:rPr>
      </w:pPr>
      <w:r w:rsidRPr="00612B42">
        <w:rPr>
          <w:rFonts w:ascii="Times New Roman" w:eastAsia="Times New Roman" w:hAnsi="Times New Roman" w:cs="Times New Roman"/>
          <w:b/>
          <w:sz w:val="24"/>
          <w:szCs w:val="20"/>
          <w:lang w:eastAsia="ar-SA"/>
        </w:rPr>
        <w:t>REGIMENTO INTERNO DA CÂMARA DOS DEPUTADOS</w:t>
      </w:r>
    </w:p>
    <w:p w:rsidR="00E16E96" w:rsidRPr="00612B42" w:rsidRDefault="00E16E96" w:rsidP="00E16E96">
      <w:pPr>
        <w:jc w:val="left"/>
        <w:rPr>
          <w:rFonts w:ascii="Times New Roman" w:eastAsia="Times New Roman" w:hAnsi="Times New Roman" w:cs="Times New Roman"/>
          <w:sz w:val="24"/>
          <w:lang w:eastAsia="pt-BR"/>
        </w:rPr>
      </w:pPr>
    </w:p>
    <w:p w:rsidR="00E16E96" w:rsidRPr="00612B42" w:rsidRDefault="00E16E96" w:rsidP="00E16E96">
      <w:pPr>
        <w:jc w:val="left"/>
        <w:rPr>
          <w:rFonts w:ascii="Times New Roman" w:eastAsia="Times New Roman" w:hAnsi="Times New Roman" w:cs="Times New Roman"/>
          <w:sz w:val="24"/>
          <w:lang w:eastAsia="pt-BR"/>
        </w:rPr>
      </w:pPr>
      <w:r w:rsidRPr="00612B42">
        <w:rPr>
          <w:rFonts w:ascii="Times New Roman" w:eastAsia="Times New Roman" w:hAnsi="Times New Roman" w:cs="Times New Roman"/>
          <w:sz w:val="24"/>
          <w:lang w:eastAsia="pt-BR"/>
        </w:rPr>
        <w:t>.......................................................................................................................................................</w:t>
      </w:r>
    </w:p>
    <w:p w:rsidR="00E16E96" w:rsidRPr="00612B42" w:rsidRDefault="00E16E96" w:rsidP="00E16E96">
      <w:pPr>
        <w:suppressAutoHyphens/>
        <w:jc w:val="center"/>
        <w:rPr>
          <w:rFonts w:ascii="Times New Roman" w:eastAsia="Times New Roman" w:hAnsi="Times New Roman" w:cs="Times New Roman"/>
          <w:sz w:val="24"/>
          <w:szCs w:val="20"/>
          <w:lang w:eastAsia="ar-SA"/>
        </w:rPr>
      </w:pPr>
    </w:p>
    <w:p w:rsidR="00E16E96" w:rsidRPr="00612B42" w:rsidRDefault="00E16E96" w:rsidP="00E16E96">
      <w:pPr>
        <w:suppressAutoHyphens/>
        <w:jc w:val="center"/>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TÍTULO IV</w:t>
      </w:r>
    </w:p>
    <w:p w:rsidR="00E16E96" w:rsidRPr="00612B42" w:rsidRDefault="00E16E96" w:rsidP="00E16E96">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DAS PROPOSIÇÕES</w:t>
      </w:r>
    </w:p>
    <w:p w:rsidR="00E16E96" w:rsidRPr="00612B42" w:rsidRDefault="00E16E96" w:rsidP="00E16E96">
      <w:pPr>
        <w:suppressAutoHyphens/>
        <w:jc w:val="center"/>
        <w:rPr>
          <w:rFonts w:ascii="Times New Roman" w:eastAsia="Times New Roman" w:hAnsi="Times New Roman" w:cs="Times New Roman"/>
          <w:sz w:val="24"/>
          <w:szCs w:val="20"/>
          <w:lang w:eastAsia="ar-SA"/>
        </w:rPr>
      </w:pPr>
    </w:p>
    <w:p w:rsidR="00E16E96" w:rsidRPr="00612B42" w:rsidRDefault="00E16E96" w:rsidP="00E16E96">
      <w:pPr>
        <w:keepNext/>
        <w:suppressAutoHyphens/>
        <w:jc w:val="center"/>
        <w:outlineLvl w:val="0"/>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CAPÍTULO I</w:t>
      </w:r>
    </w:p>
    <w:p w:rsidR="00E16E96" w:rsidRPr="00612B42" w:rsidRDefault="00E16E96" w:rsidP="00E16E96">
      <w:pPr>
        <w:keepNext/>
        <w:numPr>
          <w:ilvl w:val="1"/>
          <w:numId w:val="0"/>
        </w:numPr>
        <w:tabs>
          <w:tab w:val="left" w:pos="0"/>
        </w:tabs>
        <w:suppressAutoHyphens/>
        <w:jc w:val="center"/>
        <w:outlineLvl w:val="1"/>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DISPOSIÇÕES GERAIS</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jc w:val="left"/>
        <w:rPr>
          <w:rFonts w:ascii="Times New Roman" w:eastAsia="Times New Roman" w:hAnsi="Times New Roman" w:cs="Times New Roman"/>
          <w:sz w:val="24"/>
          <w:lang w:eastAsia="pt-BR"/>
        </w:rPr>
      </w:pPr>
      <w:r w:rsidRPr="00612B42">
        <w:rPr>
          <w:rFonts w:ascii="Times New Roman" w:eastAsia="Times New Roman" w:hAnsi="Times New Roman" w:cs="Times New Roman"/>
          <w:sz w:val="24"/>
          <w:lang w:eastAsia="pt-BR"/>
        </w:rPr>
        <w:t>.......................................................................................................................................................</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105. Finda a legislatura, arquivar-se-ão todas as proposições que no seu decurso tenham sido submetidas à deliberação da Câmara e ainda se encontrem em tramitação, bem como as que abram crédito suplementar, com pareceres ou sem eles, salvo as: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I - com pareceres favoráveis de todas as Comissões;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II - já aprovadas em turno único, em primeiro ou segundo turno;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III - que tenham tramitado pelo Senado, ou dele originárias;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IV - de iniciativa popular;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V - de iniciativa de outro Poder ou do Procurador-Geral da República.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Parágrafo único. A proposição poderá ser desarquivada mediante requerimento do Autor, ou Autores, dentro dos primeiros cento e oitenta dias da primeira sessão legislativa ordinária da legislatura subseqüente, retomando a tramitação desde o estágio em que se encontrava. </w:t>
      </w:r>
    </w:p>
    <w:p w:rsidR="00E16E96" w:rsidRPr="00612B42" w:rsidRDefault="00E16E96" w:rsidP="00E16E96">
      <w:pPr>
        <w:suppressAutoHyphens/>
        <w:ind w:firstLine="1134"/>
        <w:rPr>
          <w:rFonts w:ascii="Times New Roman" w:eastAsia="Times New Roman" w:hAnsi="Times New Roman" w:cs="Times New Roman"/>
          <w:sz w:val="24"/>
          <w:szCs w:val="20"/>
          <w:lang w:eastAsia="ar-SA"/>
        </w:rPr>
      </w:pPr>
    </w:p>
    <w:p w:rsidR="00E16E96" w:rsidRPr="00612B42" w:rsidRDefault="00E16E96" w:rsidP="00E16E96">
      <w:pPr>
        <w:suppressAutoHyphens/>
        <w:ind w:firstLine="1134"/>
        <w:rPr>
          <w:rFonts w:ascii="Times New Roman" w:eastAsia="Times New Roman" w:hAnsi="Times New Roman" w:cs="Times New Roman"/>
          <w:sz w:val="24"/>
          <w:szCs w:val="20"/>
          <w:lang w:eastAsia="ar-SA"/>
        </w:rPr>
      </w:pPr>
      <w:r w:rsidRPr="00612B42">
        <w:rPr>
          <w:rFonts w:ascii="Times New Roman" w:eastAsia="Times New Roman" w:hAnsi="Times New Roman" w:cs="Times New Roman"/>
          <w:sz w:val="24"/>
          <w:szCs w:val="20"/>
          <w:lang w:eastAsia="ar-SA"/>
        </w:rPr>
        <w:t xml:space="preserve">Art. 106. Quando, por extravio ou retenção indevida, não for possível o andamento de qualquer proposição, vencidos os prazos regimentais, a Mesa fará reconstituir o respectivo processo pelos meios ao seu alcance para a tramitação ulterior. </w:t>
      </w:r>
    </w:p>
    <w:p w:rsidR="00E16E96" w:rsidRPr="00612B42" w:rsidRDefault="00E16E96" w:rsidP="00E16E96">
      <w:pPr>
        <w:jc w:val="left"/>
        <w:rPr>
          <w:rFonts w:ascii="Times New Roman" w:eastAsia="Times New Roman" w:hAnsi="Times New Roman" w:cs="Times New Roman"/>
          <w:sz w:val="24"/>
          <w:lang w:eastAsia="pt-BR"/>
        </w:rPr>
      </w:pPr>
      <w:r w:rsidRPr="00612B42">
        <w:rPr>
          <w:rFonts w:ascii="Times New Roman" w:eastAsia="Times New Roman" w:hAnsi="Times New Roman" w:cs="Times New Roman"/>
          <w:sz w:val="24"/>
          <w:lang w:eastAsia="pt-BR"/>
        </w:rPr>
        <w:t>..............................................................................................................................................................................................................................................................................................................</w:t>
      </w:r>
    </w:p>
    <w:p w:rsidR="00E16E96" w:rsidRDefault="00E16E96" w:rsidP="00E16E96">
      <w:bookmarkStart w:id="18" w:name="z944747_FIMDOCUMENTO"/>
      <w:bookmarkEnd w:id="1"/>
      <w:bookmarkEnd w:id="11"/>
    </w:p>
    <w:p w:rsidR="00E16E96" w:rsidRPr="00E16E96" w:rsidRDefault="00E16E96" w:rsidP="00E16E96">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8"/>
    </w:p>
    <w:sectPr w:rsidR="00E16E96" w:rsidRPr="00E16E96" w:rsidSect="00E16E96">
      <w:headerReference w:type="even" r:id="rId52"/>
      <w:headerReference w:type="default" r:id="rId53"/>
      <w:footerReference w:type="even" r:id="rId54"/>
      <w:footerReference w:type="default" r:id="rId55"/>
      <w:footerReference w:type="first" r:id="rId56"/>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E96" w:rsidRDefault="00E16E96" w:rsidP="00E16E96">
      <w:r>
        <w:separator/>
      </w:r>
    </w:p>
  </w:endnote>
  <w:endnote w:type="continuationSeparator" w:id="0">
    <w:p w:rsidR="00E16E96" w:rsidRDefault="00E16E96" w:rsidP="00E1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96" w:rsidRDefault="00E16E96" w:rsidP="00E16E9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E16E96" w:rsidRDefault="00E16E96" w:rsidP="00E16E96">
    <w:pPr>
      <w:pStyle w:val="Rodap"/>
      <w:jc w:val="center"/>
      <w:rPr>
        <w:rFonts w:ascii="Courier New" w:hAnsi="Courier New" w:cs="Courier New"/>
      </w:rPr>
    </w:pPr>
    <w:r>
      <w:rPr>
        <w:rFonts w:ascii="Courier New" w:hAnsi="Courier New" w:cs="Courier New"/>
      </w:rPr>
      <w:t>CONFERE COM O ORIGINAL AUTENTICADO</w:t>
    </w:r>
  </w:p>
  <w:p w:rsidR="00E16E96" w:rsidRPr="00E16E96" w:rsidRDefault="00E16E96" w:rsidP="00E16E96">
    <w:pPr>
      <w:pStyle w:val="Rodap"/>
      <w:jc w:val="center"/>
    </w:pPr>
    <w:r>
      <w:t>PLP 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96" w:rsidRDefault="00E16E96" w:rsidP="00E16E9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E16E96" w:rsidRDefault="00E16E96" w:rsidP="00E16E96">
    <w:pPr>
      <w:pStyle w:val="Rodap"/>
      <w:jc w:val="center"/>
      <w:rPr>
        <w:rFonts w:ascii="Courier New" w:hAnsi="Courier New" w:cs="Courier New"/>
      </w:rPr>
    </w:pPr>
    <w:r>
      <w:rPr>
        <w:rFonts w:ascii="Courier New" w:hAnsi="Courier New" w:cs="Courier New"/>
      </w:rPr>
      <w:t>CONFERE COM O ORIGINAL AUTENTICADO</w:t>
    </w:r>
  </w:p>
  <w:p w:rsidR="00E16E96" w:rsidRPr="00E16E96" w:rsidRDefault="00E16E96" w:rsidP="00E16E96">
    <w:pPr>
      <w:pStyle w:val="Rodap"/>
      <w:jc w:val="center"/>
    </w:pPr>
    <w:r>
      <w:t>PLP 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96" w:rsidRDefault="00E16E96" w:rsidP="00E16E9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E16E96" w:rsidRPr="00E16E96" w:rsidRDefault="00E16E96" w:rsidP="00E16E9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E96" w:rsidRDefault="00E16E96" w:rsidP="00E16E96">
      <w:r>
        <w:separator/>
      </w:r>
    </w:p>
  </w:footnote>
  <w:footnote w:type="continuationSeparator" w:id="0">
    <w:p w:rsidR="00E16E96" w:rsidRDefault="00E16E96" w:rsidP="00E16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96" w:rsidRPr="00E16E96" w:rsidRDefault="00E16E96" w:rsidP="00E16E96">
    <w:pPr>
      <w:pStyle w:val="Cabealho"/>
      <w:jc w:val="left"/>
    </w:pPr>
    <w:r>
      <w:fldChar w:fldCharType="begin"/>
    </w:r>
    <w:r>
      <w:instrText xml:space="preserve"> PAGE  \* Arabic  \* MERGEFORMAT </w:instrText>
    </w:r>
    <w:r>
      <w:fldChar w:fldCharType="separate"/>
    </w:r>
    <w:r w:rsidR="008B386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96" w:rsidRPr="00E16E96" w:rsidRDefault="00E16E96" w:rsidP="00E16E96">
    <w:pPr>
      <w:pStyle w:val="Cabealho"/>
      <w:jc w:val="right"/>
    </w:pPr>
    <w:r>
      <w:fldChar w:fldCharType="begin"/>
    </w:r>
    <w:r>
      <w:instrText xml:space="preserve"> PAGE  \* Arabic  \* MERGEFORMAT </w:instrText>
    </w:r>
    <w:r>
      <w:fldChar w:fldCharType="separate"/>
    </w:r>
    <w:r w:rsidR="008B386D">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96"/>
    <w:rsid w:val="0000216A"/>
    <w:rsid w:val="008B386D"/>
    <w:rsid w:val="00A30291"/>
    <w:rsid w:val="00DC6D2A"/>
    <w:rsid w:val="00E16E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6E96"/>
    <w:rPr>
      <w:rFonts w:ascii="Tahoma" w:hAnsi="Tahoma" w:cs="Tahoma"/>
      <w:sz w:val="16"/>
      <w:szCs w:val="16"/>
    </w:rPr>
  </w:style>
  <w:style w:type="character" w:customStyle="1" w:styleId="TextodebaloChar">
    <w:name w:val="Texto de balão Char"/>
    <w:basedOn w:val="Fontepargpadro"/>
    <w:link w:val="Textodebalo"/>
    <w:uiPriority w:val="99"/>
    <w:semiHidden/>
    <w:rsid w:val="00E16E96"/>
    <w:rPr>
      <w:rFonts w:ascii="Tahoma" w:hAnsi="Tahoma" w:cs="Tahoma"/>
      <w:sz w:val="16"/>
      <w:szCs w:val="16"/>
    </w:rPr>
  </w:style>
  <w:style w:type="paragraph" w:styleId="Cabealho">
    <w:name w:val="header"/>
    <w:basedOn w:val="Normal"/>
    <w:link w:val="CabealhoChar"/>
    <w:uiPriority w:val="99"/>
    <w:unhideWhenUsed/>
    <w:rsid w:val="00E16E96"/>
    <w:pPr>
      <w:tabs>
        <w:tab w:val="center" w:pos="4252"/>
        <w:tab w:val="right" w:pos="8504"/>
      </w:tabs>
    </w:pPr>
  </w:style>
  <w:style w:type="character" w:customStyle="1" w:styleId="CabealhoChar">
    <w:name w:val="Cabeçalho Char"/>
    <w:basedOn w:val="Fontepargpadro"/>
    <w:link w:val="Cabealho"/>
    <w:uiPriority w:val="99"/>
    <w:rsid w:val="00E16E96"/>
    <w:rPr>
      <w:sz w:val="20"/>
    </w:rPr>
  </w:style>
  <w:style w:type="paragraph" w:styleId="Rodap">
    <w:name w:val="footer"/>
    <w:basedOn w:val="Normal"/>
    <w:link w:val="RodapChar"/>
    <w:uiPriority w:val="99"/>
    <w:unhideWhenUsed/>
    <w:rsid w:val="00E16E96"/>
    <w:pPr>
      <w:tabs>
        <w:tab w:val="center" w:pos="4252"/>
        <w:tab w:val="right" w:pos="8504"/>
      </w:tabs>
    </w:pPr>
  </w:style>
  <w:style w:type="character" w:customStyle="1" w:styleId="RodapChar">
    <w:name w:val="Rodapé Char"/>
    <w:basedOn w:val="Fontepargpadro"/>
    <w:link w:val="Rodap"/>
    <w:uiPriority w:val="99"/>
    <w:rsid w:val="00E16E96"/>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6E96"/>
    <w:rPr>
      <w:rFonts w:ascii="Tahoma" w:hAnsi="Tahoma" w:cs="Tahoma"/>
      <w:sz w:val="16"/>
      <w:szCs w:val="16"/>
    </w:rPr>
  </w:style>
  <w:style w:type="character" w:customStyle="1" w:styleId="TextodebaloChar">
    <w:name w:val="Texto de balão Char"/>
    <w:basedOn w:val="Fontepargpadro"/>
    <w:link w:val="Textodebalo"/>
    <w:uiPriority w:val="99"/>
    <w:semiHidden/>
    <w:rsid w:val="00E16E96"/>
    <w:rPr>
      <w:rFonts w:ascii="Tahoma" w:hAnsi="Tahoma" w:cs="Tahoma"/>
      <w:sz w:val="16"/>
      <w:szCs w:val="16"/>
    </w:rPr>
  </w:style>
  <w:style w:type="paragraph" w:styleId="Cabealho">
    <w:name w:val="header"/>
    <w:basedOn w:val="Normal"/>
    <w:link w:val="CabealhoChar"/>
    <w:uiPriority w:val="99"/>
    <w:unhideWhenUsed/>
    <w:rsid w:val="00E16E96"/>
    <w:pPr>
      <w:tabs>
        <w:tab w:val="center" w:pos="4252"/>
        <w:tab w:val="right" w:pos="8504"/>
      </w:tabs>
    </w:pPr>
  </w:style>
  <w:style w:type="character" w:customStyle="1" w:styleId="CabealhoChar">
    <w:name w:val="Cabeçalho Char"/>
    <w:basedOn w:val="Fontepargpadro"/>
    <w:link w:val="Cabealho"/>
    <w:uiPriority w:val="99"/>
    <w:rsid w:val="00E16E96"/>
    <w:rPr>
      <w:sz w:val="20"/>
    </w:rPr>
  </w:style>
  <w:style w:type="paragraph" w:styleId="Rodap">
    <w:name w:val="footer"/>
    <w:basedOn w:val="Normal"/>
    <w:link w:val="RodapChar"/>
    <w:uiPriority w:val="99"/>
    <w:unhideWhenUsed/>
    <w:rsid w:val="00E16E96"/>
    <w:pPr>
      <w:tabs>
        <w:tab w:val="center" w:pos="4252"/>
        <w:tab w:val="right" w:pos="8504"/>
      </w:tabs>
    </w:pPr>
  </w:style>
  <w:style w:type="character" w:customStyle="1" w:styleId="RodapChar">
    <w:name w:val="Rodapé Char"/>
    <w:basedOn w:val="Fontepargpadro"/>
    <w:link w:val="Rodap"/>
    <w:uiPriority w:val="99"/>
    <w:rsid w:val="00E16E96"/>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mara.gov.br/legin/fed/leicom/2010/leicomplementar-135-4-junho-2010-606575-publicacao-127428-pl.html" TargetMode="External"/><Relationship Id="rId18" Type="http://schemas.openxmlformats.org/officeDocument/2006/relationships/hyperlink" Target="http://www2.camara.gov.br/legin/fed/leicom/2010/leicomplementar-135-4-junho-2010-606575-publicacao-127428-pl.html" TargetMode="External"/><Relationship Id="rId26" Type="http://schemas.openxmlformats.org/officeDocument/2006/relationships/hyperlink" Target="http://www2.camara.gov.br/legin/fed/leicom/2010/leicomplementar-135-4-junho-2010-606575-publicacao-127428-pl.html" TargetMode="External"/><Relationship Id="rId39" Type="http://schemas.openxmlformats.org/officeDocument/2006/relationships/hyperlink" Target="http://www2.camara.gov.br/legin/fed/leicom/2010/leicomplementar-135-4-junho-2010-606575-publicacao-127428-pl.html" TargetMode="External"/><Relationship Id="rId21" Type="http://schemas.openxmlformats.org/officeDocument/2006/relationships/hyperlink" Target="http://www2.camara.gov.br/legin/fed/leicom/2010/leicomplementar-135-4-junho-2010-606575-publicacao-127428-pl.html" TargetMode="External"/><Relationship Id="rId34" Type="http://schemas.openxmlformats.org/officeDocument/2006/relationships/hyperlink" Target="http://www2.camara.gov.br/legin/fed/leicom/2010/leicomplementar-135-4-junho-2010-606575-publicacao-127428-pl.html" TargetMode="External"/><Relationship Id="rId42" Type="http://schemas.openxmlformats.org/officeDocument/2006/relationships/hyperlink" Target="http://www2.camara.gov.br/legin/fed/leicom/2010/leicomplementar-135-4-junho-2010-606575-publicacao-127428-pl.html" TargetMode="External"/><Relationship Id="rId47" Type="http://schemas.openxmlformats.org/officeDocument/2006/relationships/hyperlink" Target="http://www2.camara.gov.br/legin/fed/leicom/2010/leicomplementar-135-4-junho-2010-606575-publicacao-127428-pl.html" TargetMode="External"/><Relationship Id="rId50" Type="http://schemas.openxmlformats.org/officeDocument/2006/relationships/hyperlink" Target="http://www2.camara.gov.br/internet/legislacao/legin.html/textos/visualizarTexto.html?ideNorma=320496&amp;seqTexto=1&amp;PalavrasDestaque=" TargetMode="External"/><Relationship Id="rId55"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hyperlink" Target="http://www2.camara.gov.br/legin/fed/leicom/2010/leicomplementar-135-4-junho-2010-606575-publicacao-127428-pl.html" TargetMode="External"/><Relationship Id="rId17" Type="http://schemas.openxmlformats.org/officeDocument/2006/relationships/hyperlink" Target="http://www2.camara.gov.br/legin/fed/leicom/2010/leicomplementar-135-4-junho-2010-606575-publicacao-127428-pl.html" TargetMode="External"/><Relationship Id="rId25" Type="http://schemas.openxmlformats.org/officeDocument/2006/relationships/hyperlink" Target="http://www2.camara.gov.br/legin/fed/leicom/2010/leicomplementar-135-4-junho-2010-606575-publicacao-127428-pl.html" TargetMode="External"/><Relationship Id="rId33" Type="http://schemas.openxmlformats.org/officeDocument/2006/relationships/hyperlink" Target="http://www2.camara.gov.br/legin/fed/leicom/2010/leicomplementar-135-4-junho-2010-606575-publicacao-127428-pl.html" TargetMode="External"/><Relationship Id="rId38" Type="http://schemas.openxmlformats.org/officeDocument/2006/relationships/hyperlink" Target="http://www2.camara.gov.br/legin/fed/leicom/2010/leicomplementar-135-4-junho-2010-606575-publicacao-127428-pl.html" TargetMode="External"/><Relationship Id="rId46" Type="http://schemas.openxmlformats.org/officeDocument/2006/relationships/hyperlink" Target="http://www2.camara.gov.br/legin/fed/leicom/2010/leicomplementar-135-4-junho-2010-606575-publicacao-127428-pl.html" TargetMode="External"/><Relationship Id="rId2" Type="http://schemas.microsoft.com/office/2007/relationships/stylesWithEffects" Target="stylesWithEffects.xml"/><Relationship Id="rId16" Type="http://schemas.openxmlformats.org/officeDocument/2006/relationships/hyperlink" Target="http://www2.camara.gov.br/legin/fed/leicom/2010/leicomplementar-135-4-junho-2010-606575-publicacao-127428-pl.html" TargetMode="External"/><Relationship Id="rId20" Type="http://schemas.openxmlformats.org/officeDocument/2006/relationships/hyperlink" Target="http://www2.camara.gov.br/legin/fed/leicom/2010/leicomplementar-135-4-junho-2010-606575-publicacao-127428-pl.html" TargetMode="External"/><Relationship Id="rId29" Type="http://schemas.openxmlformats.org/officeDocument/2006/relationships/hyperlink" Target="http://www2.camara.gov.br/legin/fed/leicom/2010/leicomplementar-135-4-junho-2010-606575-publicacao-127428-pl.html" TargetMode="External"/><Relationship Id="rId41" Type="http://schemas.openxmlformats.org/officeDocument/2006/relationships/hyperlink" Target="http://www2.camara.gov.br/legin/fed/leicom/2010/leicomplementar-135-4-junho-2010-606575-publicacao-127428-pl.html"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n/fed/leicom/2010/leicomplementar-135-4-junho-2010-606575-publicacao-127428-pl.html" TargetMode="External"/><Relationship Id="rId24" Type="http://schemas.openxmlformats.org/officeDocument/2006/relationships/hyperlink" Target="http://www2.camara.gov.br/legin/fed/leicom/2010/leicomplementar-135-4-junho-2010-606575-publicacao-127428-pl.html" TargetMode="External"/><Relationship Id="rId32" Type="http://schemas.openxmlformats.org/officeDocument/2006/relationships/hyperlink" Target="http://www2.camara.gov.br/legin/fed/leicom/2010/leicomplementar-135-4-junho-2010-606575-publicacao-127428-pl.html" TargetMode="External"/><Relationship Id="rId37" Type="http://schemas.openxmlformats.org/officeDocument/2006/relationships/hyperlink" Target="http://www2.camara.gov.br/legin/fed/leicom/2010/leicomplementar-135-4-junho-2010-606575-publicacao-127428-pl.html" TargetMode="External"/><Relationship Id="rId40" Type="http://schemas.openxmlformats.org/officeDocument/2006/relationships/hyperlink" Target="http://www2.camara.gov.br/legin/fed/leicom/2010/leicomplementar-135-4-junho-2010-606575-publicacao-127428-pl.html" TargetMode="External"/><Relationship Id="rId45" Type="http://schemas.openxmlformats.org/officeDocument/2006/relationships/hyperlink" Target="http://www2.camara.gov.br/legin/fed/leicom/2010/leicomplementar-135-4-junho-2010-606575-publicacao-127428-pl.html"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legin/fed/leicom/2010/leicomplementar-135-4-junho-2010-606575-publicacao-127428-pl.html" TargetMode="External"/><Relationship Id="rId23" Type="http://schemas.openxmlformats.org/officeDocument/2006/relationships/hyperlink" Target="http://www2.camara.gov.br/legin/fed/leicom/2010/leicomplementar-135-4-junho-2010-606575-publicacao-127428-pl.html" TargetMode="External"/><Relationship Id="rId28" Type="http://schemas.openxmlformats.org/officeDocument/2006/relationships/hyperlink" Target="http://www2.camara.gov.br/legin/fed/leicom/2010/leicomplementar-135-4-junho-2010-606575-publicacao-127428-pl.html" TargetMode="External"/><Relationship Id="rId36" Type="http://schemas.openxmlformats.org/officeDocument/2006/relationships/hyperlink" Target="http://www2.camara.gov.br/legin/fed/leicom/2010/leicomplementar-135-4-junho-2010-606575-publicacao-127428-pl.html" TargetMode="External"/><Relationship Id="rId49" Type="http://schemas.openxmlformats.org/officeDocument/2006/relationships/hyperlink" Target="http://www2.camara.gov.br/legin/fed/leicom/2010/leicomplementar-135-4-junho-2010-606575-publicacao-127428-pl.html" TargetMode="External"/><Relationship Id="rId57" Type="http://schemas.openxmlformats.org/officeDocument/2006/relationships/fontTable" Target="fontTable.xml"/><Relationship Id="rId10" Type="http://schemas.openxmlformats.org/officeDocument/2006/relationships/hyperlink" Target="http://www2.camara.gov.br/legin/fed/leicom/2010/leicomplementar-135-4-junho-2010-606575-publicacao-127428-pl.html" TargetMode="External"/><Relationship Id="rId19" Type="http://schemas.openxmlformats.org/officeDocument/2006/relationships/hyperlink" Target="http://www2.camara.gov.br/legin/fed/leicom/2010/leicomplementar-135-4-junho-2010-606575-publicacao-127428-pl.html" TargetMode="External"/><Relationship Id="rId31" Type="http://schemas.openxmlformats.org/officeDocument/2006/relationships/hyperlink" Target="http://www2.camara.gov.br/legin/fed/leicom/2010/leicomplementar-135-4-junho-2010-606575-publicacao-127428-pl.html" TargetMode="External"/><Relationship Id="rId44" Type="http://schemas.openxmlformats.org/officeDocument/2006/relationships/hyperlink" Target="http://www2.camara.gov.br/legin/fed/leicom/2010/leicomplementar-135-4-junho-2010-606575-publicacao-127428-pl.html"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camara.gov.br/legin/fed/leicom/2010/leicomplementar-135-4-junho-2010-606575-publicacao-127428-pl.html" TargetMode="External"/><Relationship Id="rId14" Type="http://schemas.openxmlformats.org/officeDocument/2006/relationships/hyperlink" Target="http://www2.camara.gov.br/legin/fed/leicom/2010/leicomplementar-135-4-junho-2010-606575-publicacao-127428-pl.html" TargetMode="External"/><Relationship Id="rId22" Type="http://schemas.openxmlformats.org/officeDocument/2006/relationships/hyperlink" Target="http://www2.camara.gov.br/legin/fed/leicom/2010/leicomplementar-135-4-junho-2010-606575-publicacao-127428-pl.html" TargetMode="External"/><Relationship Id="rId27" Type="http://schemas.openxmlformats.org/officeDocument/2006/relationships/hyperlink" Target="http://www2.camara.gov.br/legin/fed/leicom/2010/leicomplementar-135-4-junho-2010-606575-publicacao-127428-pl.html" TargetMode="External"/><Relationship Id="rId30" Type="http://schemas.openxmlformats.org/officeDocument/2006/relationships/hyperlink" Target="http://www2.camara.gov.br/legin/fed/leicom/2010/leicomplementar-135-4-junho-2010-606575-publicacao-127428-pl.html" TargetMode="External"/><Relationship Id="rId35" Type="http://schemas.openxmlformats.org/officeDocument/2006/relationships/hyperlink" Target="http://www2.camara.gov.br/legin/fed/leicom/2010/leicomplementar-135-4-junho-2010-606575-publicacao-127428-pl.html" TargetMode="External"/><Relationship Id="rId43" Type="http://schemas.openxmlformats.org/officeDocument/2006/relationships/hyperlink" Target="http://www2.camara.gov.br/legin/fed/leicom/2010/leicomplementar-135-4-junho-2010-606575-publicacao-127428-pl.html" TargetMode="External"/><Relationship Id="rId48" Type="http://schemas.openxmlformats.org/officeDocument/2006/relationships/hyperlink" Target="http://www2.camara.gov.br/legin/fed/leicom/2010/leicomplementar-135-4-junho-2010-606575-publicacao-127428-pl.html" TargetMode="External"/><Relationship Id="rId56" Type="http://schemas.openxmlformats.org/officeDocument/2006/relationships/footer" Target="footer3.xml"/><Relationship Id="rId8" Type="http://schemas.openxmlformats.org/officeDocument/2006/relationships/hyperlink" Target="http://www2.camara.gov.br/internet/legislacao/legin.html/textos/visualizarTexto.html?ideNorma=363991&amp;seqTexto=1&amp;PalavrasDestaque=" TargetMode="External"/><Relationship Id="rId51" Type="http://schemas.openxmlformats.org/officeDocument/2006/relationships/hyperlink" Target="http://www2.camara.gov.br/internet/legislacao/legin.html/textos/visualizarTexto.html?ideNorma=531522&amp;seqTexto=13474&amp;PalavrasDestaque=" TargetMode="External"/><Relationship Id="rId3"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5414</Words>
  <Characters>31025</Characters>
  <Application>Microsoft Office Word</Application>
  <DocSecurity>0</DocSecurity>
  <Lines>620</Lines>
  <Paragraphs>293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dcterms:created xsi:type="dcterms:W3CDTF">2015-03-03T12:28:00Z</dcterms:created>
  <dcterms:modified xsi:type="dcterms:W3CDTF">2015-03-03T21:09:00Z</dcterms:modified>
</cp:coreProperties>
</file>