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AF5064" w:rsidP="00C155B5">
      <w:pPr>
        <w:jc w:val="center"/>
      </w:pPr>
      <w:bookmarkStart w:id="0" w:name="z946622_BRASAO"/>
      <w:bookmarkStart w:id="1" w:name="z94662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F5064" w:rsidRPr="00AF5064" w:rsidRDefault="00AF5064">
                            <w:pPr>
                              <w:rPr>
                                <w:rFonts w:ascii="Times New Roman" w:hAnsi="Times New Roman" w:cs="Times New Roman"/>
                                <w:sz w:val="34"/>
                              </w:rPr>
                            </w:pPr>
                            <w:r w:rsidRPr="00AF5064">
                              <w:rPr>
                                <w:rFonts w:ascii="3 of 9 Barcode" w:hAnsi="3 of 9 Barcode"/>
                                <w:sz w:val="34"/>
                              </w:rPr>
                              <w:t>*C0051378A*</w:t>
                            </w:r>
                            <w:bookmarkStart w:id="2" w:name="_GoBack"/>
                          </w:p>
                          <w:bookmarkEnd w:id="2"/>
                          <w:p w:rsidR="00AF5064" w:rsidRPr="00AF5064" w:rsidRDefault="00AF5064">
                            <w:pPr>
                              <w:rPr>
                                <w:rFonts w:ascii="Times New Roman" w:hAnsi="Times New Roman" w:cs="Times New Roman"/>
                              </w:rPr>
                            </w:pPr>
                            <w:r>
                              <w:rPr>
                                <w:rFonts w:ascii="Times New Roman" w:hAnsi="Times New Roman" w:cs="Times New Roman"/>
                              </w:rPr>
                              <w:t>C0051378A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AF5064" w:rsidRPr="00AF5064" w:rsidRDefault="00AF5064">
                      <w:pPr>
                        <w:rPr>
                          <w:rFonts w:ascii="Times New Roman" w:hAnsi="Times New Roman" w:cs="Times New Roman"/>
                          <w:sz w:val="34"/>
                        </w:rPr>
                      </w:pPr>
                      <w:r w:rsidRPr="00AF5064">
                        <w:rPr>
                          <w:rFonts w:ascii="3 of 9 Barcode" w:hAnsi="3 of 9 Barcode"/>
                          <w:sz w:val="34"/>
                        </w:rPr>
                        <w:t>*C0051378A*</w:t>
                      </w:r>
                      <w:bookmarkStart w:id="3" w:name="_GoBack"/>
                    </w:p>
                    <w:bookmarkEnd w:id="3"/>
                    <w:p w:rsidR="00AF5064" w:rsidRPr="00AF5064" w:rsidRDefault="00AF5064">
                      <w:pPr>
                        <w:rPr>
                          <w:rFonts w:ascii="Times New Roman" w:hAnsi="Times New Roman" w:cs="Times New Roman"/>
                        </w:rPr>
                      </w:pPr>
                      <w:r>
                        <w:rPr>
                          <w:rFonts w:ascii="Times New Roman" w:hAnsi="Times New Roman" w:cs="Times New Roman"/>
                        </w:rPr>
                        <w:t>C0051378A</w:t>
                      </w:r>
                    </w:p>
                  </w:txbxContent>
                </v:textbox>
                <w10:wrap anchorx="page" anchory="page"/>
              </v:shape>
            </w:pict>
          </mc:Fallback>
        </mc:AlternateContent>
      </w:r>
      <w:r w:rsidR="00C155B5">
        <w:rPr>
          <w:noProof/>
          <w:lang w:eastAsia="pt-BR"/>
        </w:rPr>
        <w:drawing>
          <wp:inline distT="0" distB="0" distL="0" distR="0" wp14:anchorId="474B4177" wp14:editId="2D1B5417">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C155B5" w:rsidRDefault="00C155B5" w:rsidP="00C155B5">
      <w:pPr>
        <w:jc w:val="center"/>
        <w:rPr>
          <w:b/>
          <w:sz w:val="24"/>
        </w:rPr>
      </w:pPr>
      <w:r>
        <w:rPr>
          <w:b/>
          <w:sz w:val="24"/>
        </w:rPr>
        <w:t>CÂMARA DOS DEPUTADOS</w:t>
      </w:r>
    </w:p>
    <w:bookmarkEnd w:id="0"/>
    <w:p w:rsidR="00C155B5" w:rsidRDefault="00C155B5" w:rsidP="00C155B5">
      <w:pPr>
        <w:rPr>
          <w:sz w:val="24"/>
        </w:rPr>
      </w:pPr>
    </w:p>
    <w:p w:rsidR="00C155B5" w:rsidRDefault="00C155B5" w:rsidP="00C155B5">
      <w:pPr>
        <w:keepNext/>
        <w:keepLines/>
        <w:jc w:val="center"/>
        <w:rPr>
          <w:b/>
          <w:sz w:val="44"/>
        </w:rPr>
      </w:pPr>
      <w:bookmarkStart w:id="4" w:name="z946622_TITULO"/>
      <w:r>
        <w:rPr>
          <w:b/>
          <w:sz w:val="44"/>
        </w:rPr>
        <w:t>PROJETO DE LEI N.º 346, DE 2015</w:t>
      </w:r>
      <w:bookmarkEnd w:id="4"/>
    </w:p>
    <w:p w:rsidR="00C155B5" w:rsidRDefault="00C155B5" w:rsidP="00C155B5">
      <w:pPr>
        <w:keepLines/>
        <w:jc w:val="center"/>
        <w:rPr>
          <w:b/>
          <w:sz w:val="28"/>
        </w:rPr>
      </w:pPr>
      <w:bookmarkStart w:id="5" w:name="z946622_AUTOR"/>
      <w:r>
        <w:rPr>
          <w:b/>
          <w:sz w:val="28"/>
        </w:rPr>
        <w:t>(Da Sra. Rosangela Gomes)</w:t>
      </w:r>
      <w:bookmarkEnd w:id="5"/>
    </w:p>
    <w:p w:rsidR="00C155B5" w:rsidRDefault="00C155B5" w:rsidP="00C155B5">
      <w:pPr>
        <w:keepLines/>
        <w:jc w:val="center"/>
        <w:rPr>
          <w:b/>
          <w:sz w:val="28"/>
        </w:rPr>
      </w:pPr>
    </w:p>
    <w:p w:rsidR="00C155B5" w:rsidRDefault="00C155B5" w:rsidP="00C155B5">
      <w:pPr>
        <w:rPr>
          <w:sz w:val="28"/>
        </w:rPr>
      </w:pPr>
      <w:bookmarkStart w:id="6" w:name="z946622_EMENTA"/>
      <w:r>
        <w:rPr>
          <w:sz w:val="28"/>
        </w:rPr>
        <w:t xml:space="preserve">Altera a Lei nº 9.096, de 19 de setembro de 1995 (Lei dos Partidos Políticos), a fim de disciplinar o percentual do Fundo Partidário destinado à promoção da participação e campanha femininas. </w:t>
      </w:r>
      <w:bookmarkEnd w:id="6"/>
    </w:p>
    <w:p w:rsidR="00C155B5" w:rsidRDefault="00C155B5" w:rsidP="00C155B5">
      <w:pPr>
        <w:rPr>
          <w:sz w:val="28"/>
        </w:rPr>
      </w:pPr>
    </w:p>
    <w:p w:rsidR="00C155B5" w:rsidRDefault="00C155B5" w:rsidP="00C155B5">
      <w:pPr>
        <w:pBdr>
          <w:top w:val="single" w:sz="4" w:space="1" w:color="auto"/>
          <w:left w:val="single" w:sz="4" w:space="4" w:color="auto"/>
          <w:bottom w:val="single" w:sz="4" w:space="1" w:color="auto"/>
          <w:right w:val="single" w:sz="4" w:space="4" w:color="auto"/>
        </w:pBdr>
        <w:rPr>
          <w:b/>
          <w:sz w:val="28"/>
        </w:rPr>
      </w:pPr>
      <w:bookmarkStart w:id="7" w:name="z946622_DESPACHO"/>
    </w:p>
    <w:p w:rsidR="00C155B5" w:rsidRDefault="00C155B5" w:rsidP="00C155B5">
      <w:pPr>
        <w:pBdr>
          <w:top w:val="single" w:sz="4" w:space="1" w:color="auto"/>
          <w:left w:val="single" w:sz="4" w:space="4" w:color="auto"/>
          <w:bottom w:val="single" w:sz="4" w:space="1" w:color="auto"/>
          <w:right w:val="single" w:sz="4" w:space="4" w:color="auto"/>
        </w:pBdr>
        <w:rPr>
          <w:b/>
          <w:sz w:val="28"/>
        </w:rPr>
      </w:pPr>
      <w:r>
        <w:rPr>
          <w:b/>
          <w:sz w:val="28"/>
        </w:rPr>
        <w:t>DESPACHO:</w:t>
      </w:r>
    </w:p>
    <w:p w:rsidR="00C155B5" w:rsidRDefault="00C155B5" w:rsidP="00C155B5">
      <w:pPr>
        <w:pBdr>
          <w:top w:val="single" w:sz="4" w:space="1" w:color="auto"/>
          <w:left w:val="single" w:sz="4" w:space="4" w:color="auto"/>
          <w:bottom w:val="single" w:sz="4" w:space="1" w:color="auto"/>
          <w:right w:val="single" w:sz="4" w:space="4" w:color="auto"/>
        </w:pBdr>
        <w:rPr>
          <w:sz w:val="28"/>
        </w:rPr>
      </w:pPr>
      <w:r>
        <w:rPr>
          <w:sz w:val="28"/>
        </w:rPr>
        <w:t xml:space="preserve">APENSE-SE À(AO) PL-3563/2008. </w:t>
      </w:r>
    </w:p>
    <w:p w:rsidR="00C155B5" w:rsidRDefault="00C155B5" w:rsidP="00C155B5">
      <w:pPr>
        <w:pBdr>
          <w:top w:val="single" w:sz="4" w:space="1" w:color="auto"/>
          <w:left w:val="single" w:sz="4" w:space="4" w:color="auto"/>
          <w:bottom w:val="single" w:sz="4" w:space="1" w:color="auto"/>
          <w:right w:val="single" w:sz="4" w:space="4" w:color="auto"/>
        </w:pBdr>
        <w:rPr>
          <w:sz w:val="28"/>
        </w:rPr>
      </w:pPr>
    </w:p>
    <w:p w:rsidR="00C155B5" w:rsidRDefault="00C155B5" w:rsidP="00C155B5">
      <w:pPr>
        <w:pBdr>
          <w:top w:val="single" w:sz="4" w:space="1" w:color="auto"/>
          <w:left w:val="single" w:sz="4" w:space="4" w:color="auto"/>
          <w:bottom w:val="single" w:sz="4" w:space="1" w:color="auto"/>
          <w:right w:val="single" w:sz="4" w:space="4" w:color="auto"/>
        </w:pBdr>
        <w:rPr>
          <w:b/>
          <w:sz w:val="28"/>
        </w:rPr>
      </w:pPr>
      <w:bookmarkStart w:id="8" w:name="z946622_APRECIACAO"/>
      <w:bookmarkEnd w:id="7"/>
      <w:r>
        <w:rPr>
          <w:b/>
          <w:sz w:val="28"/>
        </w:rPr>
        <w:t>APRECIAÇÃO:</w:t>
      </w:r>
    </w:p>
    <w:p w:rsidR="00C155B5" w:rsidRDefault="00C155B5" w:rsidP="00C155B5">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C155B5" w:rsidRDefault="00C155B5" w:rsidP="00C155B5">
      <w:pPr>
        <w:pBdr>
          <w:top w:val="single" w:sz="4" w:space="1" w:color="auto"/>
          <w:left w:val="single" w:sz="4" w:space="4" w:color="auto"/>
          <w:bottom w:val="single" w:sz="4" w:space="1" w:color="auto"/>
          <w:right w:val="single" w:sz="4" w:space="4" w:color="auto"/>
        </w:pBdr>
        <w:rPr>
          <w:sz w:val="28"/>
        </w:rPr>
      </w:pPr>
    </w:p>
    <w:bookmarkEnd w:id="8"/>
    <w:p w:rsidR="00C155B5" w:rsidRDefault="00C155B5" w:rsidP="00C155B5">
      <w:pPr>
        <w:rPr>
          <w:sz w:val="28"/>
        </w:rPr>
      </w:pPr>
    </w:p>
    <w:p w:rsidR="00C155B5" w:rsidRDefault="00C155B5" w:rsidP="00C155B5">
      <w:pPr>
        <w:jc w:val="center"/>
        <w:rPr>
          <w:b/>
          <w:sz w:val="28"/>
        </w:rPr>
      </w:pPr>
      <w:bookmarkStart w:id="9" w:name="z946622_PUBINICIAL"/>
      <w:r>
        <w:rPr>
          <w:b/>
          <w:sz w:val="28"/>
        </w:rPr>
        <w:t>PUBLICAÇÃO INICIAL</w:t>
      </w:r>
    </w:p>
    <w:p w:rsidR="00C155B5" w:rsidRDefault="00C155B5" w:rsidP="00C155B5">
      <w:pPr>
        <w:jc w:val="center"/>
        <w:rPr>
          <w:b/>
        </w:rPr>
      </w:pPr>
      <w:r>
        <w:rPr>
          <w:b/>
        </w:rPr>
        <w:t>Art. 137, caput - RICD</w:t>
      </w:r>
    </w:p>
    <w:p w:rsidR="00C155B5" w:rsidRDefault="00C155B5">
      <w:pPr>
        <w:rPr>
          <w:b/>
        </w:rPr>
      </w:pPr>
      <w:r>
        <w:rPr>
          <w:b/>
        </w:rPr>
        <w:br w:type="page"/>
      </w:r>
    </w:p>
    <w:p w:rsidR="00C155B5" w:rsidRPr="00C155B5" w:rsidRDefault="00C155B5" w:rsidP="00C155B5">
      <w:pPr>
        <w:widowControl w:val="0"/>
        <w:spacing w:after="600" w:line="360" w:lineRule="exact"/>
        <w:ind w:firstLine="2302"/>
        <w:rPr>
          <w:rFonts w:eastAsia="Times New Roman" w:cs="Times New Roman"/>
          <w:snapToGrid w:val="0"/>
          <w:color w:val="000000"/>
          <w:sz w:val="24"/>
          <w:szCs w:val="20"/>
          <w:lang w:eastAsia="pt-BR"/>
        </w:rPr>
      </w:pPr>
      <w:bookmarkStart w:id="10" w:name="z946622_1300102_TEOR"/>
      <w:bookmarkEnd w:id="9"/>
      <w:r w:rsidRPr="00C155B5">
        <w:rPr>
          <w:rFonts w:eastAsia="Times New Roman" w:cs="Times New Roman"/>
          <w:snapToGrid w:val="0"/>
          <w:color w:val="000000"/>
          <w:sz w:val="24"/>
          <w:szCs w:val="20"/>
          <w:lang w:eastAsia="pt-BR"/>
        </w:rPr>
        <w:lastRenderedPageBreak/>
        <w:t>O</w:t>
      </w:r>
      <w:r w:rsidRPr="00C155B5">
        <w:rPr>
          <w:rFonts w:eastAsia="Times New Roman" w:cs="Times New Roman"/>
          <w:b/>
          <w:snapToGrid w:val="0"/>
          <w:color w:val="000000"/>
          <w:sz w:val="24"/>
          <w:szCs w:val="20"/>
          <w:lang w:eastAsia="pt-BR"/>
        </w:rPr>
        <w:t xml:space="preserve"> </w:t>
      </w:r>
      <w:r w:rsidRPr="00C155B5">
        <w:rPr>
          <w:rFonts w:eastAsia="Times New Roman" w:cs="Times New Roman"/>
          <w:snapToGrid w:val="0"/>
          <w:color w:val="000000"/>
          <w:sz w:val="24"/>
          <w:szCs w:val="20"/>
          <w:lang w:eastAsia="pt-BR"/>
        </w:rPr>
        <w:t>Congresso Nacional</w:t>
      </w:r>
      <w:r w:rsidRPr="00C155B5">
        <w:rPr>
          <w:rFonts w:eastAsia="Times New Roman" w:cs="Times New Roman"/>
          <w:b/>
          <w:snapToGrid w:val="0"/>
          <w:color w:val="000000"/>
          <w:sz w:val="24"/>
          <w:szCs w:val="20"/>
          <w:lang w:eastAsia="pt-BR"/>
        </w:rPr>
        <w:t xml:space="preserve"> </w:t>
      </w:r>
      <w:r w:rsidRPr="00C155B5">
        <w:rPr>
          <w:rFonts w:eastAsia="Times New Roman" w:cs="Times New Roman"/>
          <w:snapToGrid w:val="0"/>
          <w:color w:val="000000"/>
          <w:sz w:val="24"/>
          <w:szCs w:val="20"/>
          <w:lang w:eastAsia="pt-BR"/>
        </w:rPr>
        <w:t>decreta:</w:t>
      </w:r>
    </w:p>
    <w:p w:rsidR="00C155B5" w:rsidRPr="00C155B5" w:rsidRDefault="00C155B5" w:rsidP="00C155B5">
      <w:pPr>
        <w:widowControl w:val="0"/>
        <w:spacing w:after="24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Art. 1.º Esta Lei altera a Lei n.º 9.096, de 19 de setembro de 1995 (Lei dos Partidos Políticos), a fim de disciplinar, em todo o território nacional, a movimentação do percentual do Fundo Partidário destinado à promoção da participação e campanha femininas. </w:t>
      </w:r>
    </w:p>
    <w:p w:rsidR="00C155B5" w:rsidRPr="00C155B5" w:rsidRDefault="00C155B5" w:rsidP="00C155B5">
      <w:pPr>
        <w:widowControl w:val="0"/>
        <w:spacing w:after="24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Art. 2.º Os arts. 43 e 44 da Lei n.º 9.096, de 19 de setembro de 1995, passam a vigorar com a seguinte redação: </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“Art. 43.................................................................................</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 xml:space="preserve">............................................................................................. </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 xml:space="preserve">Parágrafo único. Os recursos oriundos do Fundo de Participação Partidário destinados à criação e manutenção de programas de promoção e difusão da participação feminina, nos termos do art. 44, inciso V e § 5º, serão movimentados em conta bancária específica (NR). </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Art. 44. ................................................................................</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 xml:space="preserve"> ............................................................................................ </w:t>
      </w:r>
    </w:p>
    <w:p w:rsidR="00C155B5" w:rsidRPr="00C155B5" w:rsidRDefault="00C155B5" w:rsidP="00C155B5">
      <w:pPr>
        <w:widowControl w:val="0"/>
        <w:spacing w:after="120" w:line="360" w:lineRule="exact"/>
        <w:ind w:left="2268"/>
        <w:rPr>
          <w:rFonts w:eastAsia="Times New Roman" w:cs="Times New Roman"/>
          <w:i/>
          <w:snapToGrid w:val="0"/>
          <w:color w:val="000000"/>
          <w:sz w:val="24"/>
          <w:szCs w:val="20"/>
          <w:lang w:eastAsia="pt-BR"/>
        </w:rPr>
      </w:pPr>
      <w:r w:rsidRPr="00C155B5">
        <w:rPr>
          <w:rFonts w:eastAsia="Times New Roman" w:cs="Times New Roman"/>
          <w:i/>
          <w:snapToGrid w:val="0"/>
          <w:color w:val="000000"/>
          <w:sz w:val="24"/>
          <w:szCs w:val="20"/>
          <w:lang w:eastAsia="pt-BR"/>
        </w:rPr>
        <w:t xml:space="preserve">III – no alistamento e campanhas eleitorais, observado o mínimo de 2,5 (dois e meio por cento) do total para o financiamento de campanhas femininas; ............................................................................................. </w:t>
      </w:r>
    </w:p>
    <w:p w:rsidR="00C155B5" w:rsidRPr="00C155B5" w:rsidRDefault="00C155B5" w:rsidP="00C155B5">
      <w:pPr>
        <w:widowControl w:val="0"/>
        <w:spacing w:after="120" w:line="360" w:lineRule="exact"/>
        <w:ind w:left="2268"/>
        <w:rPr>
          <w:rFonts w:eastAsia="Times New Roman" w:cs="Times New Roman"/>
          <w:snapToGrid w:val="0"/>
          <w:color w:val="000000"/>
          <w:sz w:val="24"/>
          <w:szCs w:val="20"/>
          <w:lang w:eastAsia="pt-BR"/>
        </w:rPr>
      </w:pPr>
      <w:r w:rsidRPr="00C155B5">
        <w:rPr>
          <w:rFonts w:eastAsia="Times New Roman" w:cs="Times New Roman"/>
          <w:i/>
          <w:snapToGrid w:val="0"/>
          <w:color w:val="000000"/>
          <w:sz w:val="24"/>
          <w:szCs w:val="20"/>
          <w:lang w:eastAsia="pt-BR"/>
        </w:rPr>
        <w:t>§ 1º Na prestação de contas dos órgãos de direção partidária de qualquer nível devem ser discriminadas as despesas realizadas com recursos do Fundo Partidário, de modo a permitir o controle da Justiça Eleitoral sobre o cumprimento do disposto nos incisos I, III, IV e V deste artigo.”</w:t>
      </w:r>
      <w:r w:rsidRPr="00C155B5">
        <w:rPr>
          <w:rFonts w:eastAsia="Times New Roman" w:cs="Times New Roman"/>
          <w:snapToGrid w:val="0"/>
          <w:color w:val="000000"/>
          <w:sz w:val="24"/>
          <w:szCs w:val="20"/>
          <w:lang w:eastAsia="pt-BR"/>
        </w:rPr>
        <w:t xml:space="preserve"> (NR)</w:t>
      </w:r>
    </w:p>
    <w:p w:rsidR="00C155B5" w:rsidRPr="00C155B5" w:rsidRDefault="00C155B5" w:rsidP="00C155B5">
      <w:pPr>
        <w:widowControl w:val="0"/>
        <w:spacing w:after="240" w:line="360" w:lineRule="exact"/>
        <w:ind w:firstLine="2268"/>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Art. 3.º Esta Lei entra em vigor na data da sua publicação.</w:t>
      </w:r>
    </w:p>
    <w:p w:rsidR="00C155B5" w:rsidRPr="00C155B5" w:rsidRDefault="00C155B5" w:rsidP="00C155B5">
      <w:pPr>
        <w:spacing w:before="554" w:after="754" w:line="360" w:lineRule="exact"/>
        <w:jc w:val="center"/>
        <w:outlineLvl w:val="2"/>
        <w:rPr>
          <w:rFonts w:eastAsia="Times New Roman" w:cs="Times New Roman"/>
          <w:b/>
          <w:caps/>
          <w:snapToGrid w:val="0"/>
          <w:sz w:val="28"/>
          <w:szCs w:val="20"/>
          <w:lang w:eastAsia="pt-BR"/>
        </w:rPr>
      </w:pPr>
      <w:r w:rsidRPr="00C155B5">
        <w:rPr>
          <w:rFonts w:eastAsia="Times New Roman" w:cs="Times New Roman"/>
          <w:b/>
          <w:caps/>
          <w:snapToGrid w:val="0"/>
          <w:sz w:val="28"/>
          <w:szCs w:val="20"/>
          <w:lang w:eastAsia="pt-BR"/>
        </w:rPr>
        <w:t>JUSTIFICAÇÃO</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O presente projeto de lei visa a alterar a Lei dos Partidos, no que concerne aos recursos do Fundo Partidário destinados aos programas de </w:t>
      </w:r>
      <w:r w:rsidRPr="00C155B5">
        <w:rPr>
          <w:rFonts w:eastAsia="Times New Roman" w:cs="Times New Roman"/>
          <w:snapToGrid w:val="0"/>
          <w:color w:val="000000"/>
          <w:sz w:val="24"/>
          <w:szCs w:val="20"/>
          <w:lang w:eastAsia="pt-BR"/>
        </w:rPr>
        <w:lastRenderedPageBreak/>
        <w:t xml:space="preserve">promoção e difusão da participação das mulheres, atualmente fixados em, no mínimo, cinco por cento do total destinado ao partido.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Felizmente, hoje, podemos afirmar que o Brasil é um país com democracia consolidada. Contudo, apesar disso, os desafios pela qualidade dessa democracia continuam a demandar aperfeiçoamentos legislativos.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A sub-representação social e política da mulher é fenômeno que persiste em nosso país, mesmo a despeito de hoje termos uma mulher à frente do Poder Executivo Federal. A experiência quotidiana registra, ainda, evidentes e inegáveis sinais de discriminação, que refletem flagrante disparidade no plano da participação política e acesso aos postos de decisão.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Em virtude desse quadro de desigualdades surge como um imperativo de democracia e cidadania a adoção, cada vez maior, de programas e mecanismos institucionais que promovam medidas afirmativas necessárias para a correção dessas distorções.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Nesse tocante, cumpre lembrar que em 1995 a Bancada Feminina do Congresso Nacional (BFCN) lutou pela inclusão de programas de incentivo a participação política da mulher como metas para o Fundo Partidário e pela cota de 20% de candidatas aos legislativos para as eleições municipais de 1996, que culminou com a edição das Leis nºs 9.096/95 e 9.100/95. Desde então, em todos os projetos de Reforma Política, a BFCN tem envidado os maiores esforços no sentido de ampliar a cota de participação desses programas.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 xml:space="preserve">Entretanto, para que tais programas alcancem os objetivos da lei, entendo que, independentemente do valor da cota, faz-se absolutamente imprescindível que se lhes dê autonomia financeira. Esta autonomia só será efetivamente alcançada se os programas de promoção e difusão da participação feminina puderem movimentar seus recursos em conta própria. Creio que este seja um passo fundamental e decisivo para que os programas possam avançar ainda mais na defesa da igualdade de direitos e participação político-partidária das mulheres. </w:t>
      </w:r>
    </w:p>
    <w:p w:rsidR="00C155B5" w:rsidRPr="00C155B5" w:rsidRDefault="00C155B5" w:rsidP="00C155B5">
      <w:pPr>
        <w:spacing w:after="200" w:line="360" w:lineRule="exact"/>
        <w:ind w:firstLine="2302"/>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t>É com esse propósito que submeto aos ilustres Pares o presente projeto de lei, certa de que bem poderão aquilatar a sua importância no aprimoramento da legislação partidária pátria.</w:t>
      </w:r>
    </w:p>
    <w:p w:rsidR="00C155B5" w:rsidRPr="00C155B5" w:rsidRDefault="00C155B5" w:rsidP="00C155B5">
      <w:pPr>
        <w:keepNext/>
        <w:widowControl w:val="0"/>
        <w:spacing w:before="554" w:after="1072" w:line="360" w:lineRule="exact"/>
        <w:jc w:val="center"/>
        <w:rPr>
          <w:rFonts w:eastAsia="Times New Roman" w:cs="Times New Roman"/>
          <w:snapToGrid w:val="0"/>
          <w:color w:val="000000"/>
          <w:sz w:val="24"/>
          <w:szCs w:val="20"/>
          <w:lang w:eastAsia="pt-BR"/>
        </w:rPr>
      </w:pPr>
      <w:r w:rsidRPr="00C155B5">
        <w:rPr>
          <w:rFonts w:eastAsia="Times New Roman" w:cs="Times New Roman"/>
          <w:snapToGrid w:val="0"/>
          <w:color w:val="000000"/>
          <w:sz w:val="24"/>
          <w:szCs w:val="20"/>
          <w:lang w:eastAsia="pt-BR"/>
        </w:rPr>
        <w:lastRenderedPageBreak/>
        <w:t xml:space="preserve">Sala das Sessões, </w:t>
      </w:r>
      <w:r w:rsidR="00DF03AF">
        <w:rPr>
          <w:rFonts w:eastAsia="Times New Roman" w:cs="Times New Roman"/>
          <w:snapToGrid w:val="0"/>
          <w:color w:val="000000"/>
          <w:sz w:val="24"/>
          <w:szCs w:val="20"/>
          <w:lang w:eastAsia="pt-BR"/>
        </w:rPr>
        <w:t>em 11 de fevereiro de</w:t>
      </w:r>
      <w:r w:rsidRPr="00C155B5">
        <w:rPr>
          <w:rFonts w:eastAsia="Times New Roman" w:cs="Times New Roman"/>
          <w:snapToGrid w:val="0"/>
          <w:color w:val="000000"/>
          <w:sz w:val="24"/>
          <w:szCs w:val="20"/>
          <w:lang w:eastAsia="pt-BR"/>
        </w:rPr>
        <w:t xml:space="preserve"> 2015.</w:t>
      </w:r>
    </w:p>
    <w:p w:rsidR="00C155B5" w:rsidRPr="00C155B5" w:rsidRDefault="00C155B5" w:rsidP="00C155B5">
      <w:pPr>
        <w:widowControl w:val="0"/>
        <w:spacing w:line="360" w:lineRule="exact"/>
        <w:jc w:val="center"/>
        <w:rPr>
          <w:rFonts w:eastAsia="Times New Roman" w:cs="Times New Roman"/>
          <w:b/>
          <w:snapToGrid w:val="0"/>
          <w:color w:val="000000"/>
          <w:sz w:val="24"/>
          <w:szCs w:val="20"/>
          <w:lang w:eastAsia="pt-BR"/>
        </w:rPr>
      </w:pPr>
      <w:r w:rsidRPr="00C155B5">
        <w:rPr>
          <w:rFonts w:eastAsia="Times New Roman" w:cs="Times New Roman"/>
          <w:b/>
          <w:snapToGrid w:val="0"/>
          <w:color w:val="000000"/>
          <w:sz w:val="24"/>
          <w:szCs w:val="20"/>
          <w:lang w:eastAsia="pt-BR"/>
        </w:rPr>
        <w:t>Deputada ROSANGELA GOMES</w:t>
      </w:r>
    </w:p>
    <w:p w:rsidR="00C155B5" w:rsidRDefault="00C155B5" w:rsidP="00C155B5">
      <w:pPr>
        <w:rPr>
          <w:sz w:val="24"/>
        </w:rPr>
      </w:pPr>
    </w:p>
    <w:p w:rsidR="00C155B5" w:rsidRDefault="00C155B5" w:rsidP="00C155B5">
      <w:pPr>
        <w:pBdr>
          <w:top w:val="single" w:sz="4" w:space="1" w:color="auto"/>
          <w:left w:val="single" w:sz="4" w:space="4" w:color="auto"/>
          <w:bottom w:val="single" w:sz="4" w:space="1" w:color="auto"/>
          <w:right w:val="single" w:sz="4" w:space="4" w:color="auto"/>
        </w:pBdr>
        <w:jc w:val="center"/>
        <w:rPr>
          <w:b/>
          <w:sz w:val="24"/>
        </w:rPr>
      </w:pPr>
      <w:bookmarkStart w:id="11" w:name="z946622_LEGISLACAO"/>
      <w:bookmarkEnd w:id="10"/>
      <w:r>
        <w:rPr>
          <w:b/>
          <w:sz w:val="24"/>
        </w:rPr>
        <w:t>LEGISLAÇÃO CITADA ANEXADA PELA</w:t>
      </w:r>
    </w:p>
    <w:p w:rsidR="00C155B5" w:rsidRDefault="00C155B5" w:rsidP="00C155B5">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C155B5" w:rsidRDefault="00C155B5" w:rsidP="00C155B5">
      <w:pPr>
        <w:jc w:val="center"/>
        <w:rPr>
          <w:b/>
          <w:sz w:val="24"/>
        </w:rPr>
      </w:pPr>
    </w:p>
    <w:p w:rsidR="00C155B5" w:rsidRPr="00C155B5" w:rsidRDefault="00C155B5" w:rsidP="00C155B5">
      <w:pPr>
        <w:keepNext/>
        <w:jc w:val="center"/>
        <w:outlineLvl w:val="0"/>
        <w:rPr>
          <w:rFonts w:ascii="Times New Roman" w:eastAsia="Times New Roman" w:hAnsi="Times New Roman" w:cs="Times New Roman"/>
          <w:b/>
          <w:sz w:val="28"/>
          <w:szCs w:val="20"/>
          <w:lang w:eastAsia="pt-BR"/>
        </w:rPr>
      </w:pPr>
      <w:r w:rsidRPr="00C155B5">
        <w:rPr>
          <w:rFonts w:ascii="Times New Roman" w:eastAsia="Times New Roman" w:hAnsi="Times New Roman" w:cs="Times New Roman"/>
          <w:b/>
          <w:sz w:val="28"/>
          <w:szCs w:val="20"/>
          <w:lang w:eastAsia="pt-BR"/>
        </w:rPr>
        <w:t>LEI Nº 9.096, DE 19 DE SETEMBRO DE 1995</w:t>
      </w:r>
    </w:p>
    <w:p w:rsidR="00C155B5" w:rsidRPr="00C155B5" w:rsidRDefault="00C155B5" w:rsidP="00C155B5">
      <w:pPr>
        <w:jc w:val="left"/>
        <w:rPr>
          <w:rFonts w:ascii="Times New Roman" w:eastAsia="Times New Roman" w:hAnsi="Times New Roman" w:cs="Times New Roman"/>
          <w:szCs w:val="20"/>
          <w:lang w:eastAsia="pt-BR"/>
        </w:rPr>
      </w:pPr>
    </w:p>
    <w:p w:rsidR="00C155B5" w:rsidRPr="00C155B5" w:rsidRDefault="00C155B5" w:rsidP="00C155B5">
      <w:pPr>
        <w:ind w:left="4536"/>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Dispõe sobre partidos políticos, regulamenta os arts. 17 e 14, § 3º, inciso V, da Constituição Federal.</w:t>
      </w:r>
    </w:p>
    <w:p w:rsidR="00C155B5" w:rsidRPr="00C155B5" w:rsidRDefault="00C155B5" w:rsidP="00C155B5">
      <w:pPr>
        <w:jc w:val="left"/>
        <w:rPr>
          <w:rFonts w:ascii="Times New Roman" w:eastAsia="Times New Roman" w:hAnsi="Times New Roman" w:cs="Times New Roman"/>
          <w:szCs w:val="20"/>
          <w:lang w:eastAsia="pt-BR"/>
        </w:rPr>
      </w:pP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O </w:t>
      </w:r>
      <w:r w:rsidRPr="00C155B5">
        <w:rPr>
          <w:rFonts w:ascii="Times New Roman" w:eastAsia="Times New Roman" w:hAnsi="Times New Roman" w:cs="Times New Roman"/>
          <w:b/>
          <w:sz w:val="24"/>
          <w:szCs w:val="20"/>
          <w:lang w:eastAsia="pt-BR"/>
        </w:rPr>
        <w:t>VICE-PRESIDENTE DA REPÚBLICA</w:t>
      </w:r>
      <w:r w:rsidRPr="00C155B5">
        <w:rPr>
          <w:rFonts w:ascii="Times New Roman" w:eastAsia="Times New Roman" w:hAnsi="Times New Roman" w:cs="Times New Roman"/>
          <w:sz w:val="24"/>
          <w:szCs w:val="20"/>
          <w:lang w:eastAsia="pt-BR"/>
        </w:rPr>
        <w:t xml:space="preserve"> no exercício do cargo de </w:t>
      </w:r>
      <w:r w:rsidRPr="00C155B5">
        <w:rPr>
          <w:rFonts w:ascii="Times New Roman" w:eastAsia="Times New Roman" w:hAnsi="Times New Roman" w:cs="Times New Roman"/>
          <w:b/>
          <w:sz w:val="24"/>
          <w:szCs w:val="20"/>
          <w:lang w:eastAsia="pt-BR"/>
        </w:rPr>
        <w:t>PRESIDENTE DA REPÚBLICA,</w:t>
      </w:r>
      <w:r w:rsidRPr="00C155B5">
        <w:rPr>
          <w:rFonts w:ascii="Times New Roman" w:eastAsia="Times New Roman" w:hAnsi="Times New Roman" w:cs="Times New Roman"/>
          <w:sz w:val="24"/>
          <w:szCs w:val="20"/>
          <w:lang w:eastAsia="pt-BR"/>
        </w:rPr>
        <w:t xml:space="preserve">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Faço saber que o Congresso Nacional decreta e eu sanciono a seguinte Lei: </w:t>
      </w:r>
    </w:p>
    <w:p w:rsidR="00C155B5" w:rsidRPr="00C155B5" w:rsidRDefault="00C155B5" w:rsidP="00C155B5">
      <w:pP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Pr="00C155B5" w:rsidRDefault="00C155B5" w:rsidP="00C155B5">
      <w:pPr>
        <w:rPr>
          <w:rFonts w:ascii="Times New Roman" w:eastAsia="Times New Roman" w:hAnsi="Times New Roman" w:cs="Times New Roman"/>
          <w:sz w:val="24"/>
          <w:szCs w:val="20"/>
          <w:lang w:eastAsia="pt-BR"/>
        </w:rPr>
      </w:pPr>
    </w:p>
    <w:p w:rsidR="00C155B5" w:rsidRPr="00C155B5" w:rsidRDefault="00C155B5" w:rsidP="00C155B5">
      <w:pPr>
        <w:keepNext/>
        <w:jc w:val="center"/>
        <w:outlineLvl w:val="1"/>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TÍTULO III</w:t>
      </w:r>
    </w:p>
    <w:p w:rsidR="00C155B5" w:rsidRPr="00C155B5" w:rsidRDefault="00C155B5" w:rsidP="00C155B5">
      <w:pPr>
        <w:jc w:val="cente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DAS FINANÇAS E CONTABILIDADE DOS PARTIDOS</w:t>
      </w:r>
    </w:p>
    <w:p w:rsidR="00C155B5" w:rsidRPr="00C155B5" w:rsidRDefault="00C155B5" w:rsidP="00C155B5">
      <w:pP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Pr="00C155B5" w:rsidRDefault="00C155B5" w:rsidP="00C155B5">
      <w:pPr>
        <w:rPr>
          <w:rFonts w:ascii="Times New Roman" w:eastAsia="Times New Roman" w:hAnsi="Times New Roman" w:cs="Times New Roman"/>
          <w:sz w:val="24"/>
          <w:szCs w:val="20"/>
          <w:lang w:eastAsia="pt-BR"/>
        </w:rPr>
      </w:pPr>
    </w:p>
    <w:p w:rsidR="00C155B5" w:rsidRPr="00C155B5" w:rsidRDefault="00C155B5" w:rsidP="00C155B5">
      <w:pPr>
        <w:jc w:val="cente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CAPÍTULO II</w:t>
      </w:r>
    </w:p>
    <w:p w:rsidR="00C155B5" w:rsidRPr="00C155B5" w:rsidRDefault="00C155B5" w:rsidP="00C155B5">
      <w:pPr>
        <w:jc w:val="cente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DO FUNDO PARTIDÁRIO</w:t>
      </w:r>
    </w:p>
    <w:p w:rsidR="00C155B5" w:rsidRPr="00C155B5" w:rsidRDefault="00C155B5" w:rsidP="00C155B5">
      <w:pP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Pr="00C155B5" w:rsidRDefault="00C155B5" w:rsidP="00C155B5">
      <w:pPr>
        <w:rPr>
          <w:rFonts w:ascii="Times New Roman" w:eastAsia="Times New Roman" w:hAnsi="Times New Roman" w:cs="Times New Roman"/>
          <w:sz w:val="24"/>
          <w:szCs w:val="20"/>
          <w:lang w:eastAsia="pt-BR"/>
        </w:rPr>
      </w:pP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Art. 43. Os depósitos e movimentações dos recursos oriundos do Fundo Partidário serão feitos em estabelecimentos bancários controlados pelo Poder Público Federal, pelo Poder Público Estadual ou, inexistindo estes, no banco escolhido pelo órgão diretivo do partido. </w:t>
      </w:r>
    </w:p>
    <w:p w:rsidR="00C155B5" w:rsidRPr="00C155B5" w:rsidRDefault="00C155B5" w:rsidP="00C155B5">
      <w:pPr>
        <w:ind w:firstLine="1134"/>
        <w:rPr>
          <w:rFonts w:ascii="Times New Roman" w:eastAsia="Times New Roman" w:hAnsi="Times New Roman" w:cs="Times New Roman"/>
          <w:sz w:val="24"/>
          <w:szCs w:val="20"/>
          <w:lang w:eastAsia="pt-BR"/>
        </w:rPr>
      </w:pP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Art. 44. Os recursos oriundos do Fundo Partidário serão aplicados: </w:t>
      </w:r>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I - na manutenção das sedes e serviços do partido, permitido o pagamento de pessoal, a qualquer título, observado neste último caso o limite máximo de 50% (cinquenta por cento) do total recebido. </w:t>
      </w:r>
      <w:hyperlink r:id="rId8" w:history="1">
        <w:r w:rsidRPr="00C155B5">
          <w:rPr>
            <w:rFonts w:ascii="Times New Roman" w:eastAsia="Times New Roman" w:hAnsi="Times New Roman" w:cs="Times New Roman"/>
            <w:i/>
            <w:color w:val="0000FF"/>
            <w:sz w:val="24"/>
            <w:szCs w:val="20"/>
            <w:u w:val="single"/>
            <w:lang w:eastAsia="pt-BR"/>
          </w:rPr>
          <w:t>(Inciso com redação dada pela Lei nº 12.034, de 29/9/2009)</w:t>
        </w:r>
      </w:hyperlink>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 - na propaganda doutrinária e política;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III - no alistamento e campanhas eleitorais;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IV - na criação e manutenção de instituto ou fundação de pesquisa e de doutrinação e educação política, sendo esta aplicação de, no mínimo, vinte por cento do total recebido.</w:t>
      </w:r>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V - na criação e manutenção de programas de promoção e difusão da participação política das mulheres conforme percentual que será fixado pelo órgão nacional de direção partidária, observado o mínimo de 5% (cinco por cento) do total. </w:t>
      </w:r>
      <w:hyperlink r:id="rId9" w:history="1">
        <w:r w:rsidRPr="00C155B5">
          <w:rPr>
            <w:rFonts w:ascii="Times New Roman" w:eastAsia="Times New Roman" w:hAnsi="Times New Roman" w:cs="Times New Roman"/>
            <w:i/>
            <w:color w:val="0000FF"/>
            <w:sz w:val="24"/>
            <w:szCs w:val="20"/>
            <w:u w:val="single"/>
            <w:lang w:eastAsia="pt-BR"/>
          </w:rPr>
          <w:t>(Inciso acrescido pela Lei nº 12.034, de 29/9/2009)</w:t>
        </w:r>
      </w:hyperlink>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1º Na prestação de contas dos órgãos de direção partidária de qualquer nível devem ser discriminadas as despesas realizadas com recursos do Fundo Partidário, de modo a </w:t>
      </w:r>
      <w:r w:rsidRPr="00C155B5">
        <w:rPr>
          <w:rFonts w:ascii="Times New Roman" w:eastAsia="Times New Roman" w:hAnsi="Times New Roman" w:cs="Times New Roman"/>
          <w:sz w:val="24"/>
          <w:szCs w:val="20"/>
          <w:lang w:eastAsia="pt-BR"/>
        </w:rPr>
        <w:lastRenderedPageBreak/>
        <w:t xml:space="preserve">permitir o controle da Justiça Eleitoral sobre o cumprimento do disposto nos incisos I e IV deste artigo.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2º A Justiça Eleitoral pode, a qualquer tempo, investigar sobre a aplicação de recursos oriundos do Fundo Partidário.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3º Os recursos de que trata este artigo não estão sujeitos ao regime da Lei nº 8.666, de 21 de junho de 1993, tendo os partidos políticos autonomia para contratar e realizar despesas. </w:t>
      </w:r>
      <w:hyperlink r:id="rId10" w:history="1">
        <w:r w:rsidRPr="00C155B5">
          <w:rPr>
            <w:rFonts w:ascii="Times New Roman" w:eastAsia="Times New Roman" w:hAnsi="Times New Roman" w:cs="Times New Roman"/>
            <w:i/>
            <w:color w:val="0000FF"/>
            <w:sz w:val="24"/>
            <w:szCs w:val="20"/>
            <w:u w:val="single"/>
            <w:lang w:eastAsia="pt-BR"/>
          </w:rPr>
          <w:t>(Parágrafo acrescido pela Lei nº 9.504, de 30/9/1997,</w:t>
        </w:r>
      </w:hyperlink>
      <w:r w:rsidRPr="00C155B5">
        <w:rPr>
          <w:rFonts w:ascii="Times New Roman" w:eastAsia="Times New Roman" w:hAnsi="Times New Roman" w:cs="Times New Roman"/>
          <w:sz w:val="24"/>
          <w:szCs w:val="20"/>
          <w:lang w:eastAsia="pt-BR"/>
        </w:rPr>
        <w:t xml:space="preserve"> </w:t>
      </w:r>
      <w:hyperlink r:id="rId11" w:history="1">
        <w:r w:rsidRPr="00C155B5">
          <w:rPr>
            <w:rFonts w:ascii="Times New Roman" w:eastAsia="Times New Roman" w:hAnsi="Times New Roman" w:cs="Times New Roman"/>
            <w:i/>
            <w:color w:val="0000FF"/>
            <w:sz w:val="24"/>
            <w:szCs w:val="20"/>
            <w:u w:val="single"/>
            <w:lang w:eastAsia="pt-BR"/>
          </w:rPr>
          <w:t>com redação dada pela Lei nº 12.891, de 11/12/2013)</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4º Não se incluem no cômputo do percentual previsto no inciso I deste artigo encargos e tributos de qualquer natureza. </w:t>
      </w:r>
      <w:hyperlink r:id="rId12" w:history="1">
        <w:r w:rsidRPr="00C155B5">
          <w:rPr>
            <w:rFonts w:ascii="Times New Roman" w:eastAsia="Times New Roman" w:hAnsi="Times New Roman" w:cs="Times New Roman"/>
            <w:i/>
            <w:color w:val="0000FF"/>
            <w:sz w:val="24"/>
            <w:szCs w:val="20"/>
            <w:u w:val="single"/>
            <w:lang w:eastAsia="pt-BR"/>
          </w:rPr>
          <w:t>(Parágrafo acrescido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5º O partido que não cumprir o disposto no inciso V do </w:t>
      </w:r>
      <w:r w:rsidRPr="00C155B5">
        <w:rPr>
          <w:rFonts w:ascii="Times New Roman" w:eastAsia="Times New Roman" w:hAnsi="Times New Roman" w:cs="Times New Roman"/>
          <w:i/>
          <w:sz w:val="24"/>
          <w:szCs w:val="20"/>
          <w:lang w:eastAsia="pt-BR"/>
        </w:rPr>
        <w:t>caput</w:t>
      </w:r>
      <w:r w:rsidRPr="00C155B5">
        <w:rPr>
          <w:rFonts w:ascii="Times New Roman" w:eastAsia="Times New Roman" w:hAnsi="Times New Roman" w:cs="Times New Roman"/>
          <w:sz w:val="24"/>
          <w:szCs w:val="20"/>
          <w:lang w:eastAsia="pt-BR"/>
        </w:rPr>
        <w:t xml:space="preserve"> deste artigo deverá, no ano subsequente, acrescer o percentual de 2,5% (dois inteiros e cinco décimos por cento) do Fundo Partidário para essa destinação, ficando impedido de utilizá-lo para finalidade diversa. </w:t>
      </w:r>
      <w:hyperlink r:id="rId13" w:history="1">
        <w:r w:rsidRPr="00C155B5">
          <w:rPr>
            <w:rFonts w:ascii="Times New Roman" w:eastAsia="Times New Roman" w:hAnsi="Times New Roman" w:cs="Times New Roman"/>
            <w:i/>
            <w:color w:val="0000FF"/>
            <w:sz w:val="24"/>
            <w:szCs w:val="20"/>
            <w:u w:val="single"/>
            <w:lang w:eastAsia="pt-BR"/>
          </w:rPr>
          <w:t>(Parágrafo acrescido pela Lei nº 12.034, de 29/9/2009)</w:t>
        </w:r>
      </w:hyperlink>
    </w:p>
    <w:p w:rsidR="00C155B5" w:rsidRPr="00C155B5" w:rsidRDefault="00C155B5" w:rsidP="00C155B5">
      <w:pPr>
        <w:ind w:firstLine="1134"/>
        <w:rPr>
          <w:rFonts w:ascii="Times New Roman" w:eastAsia="Times New Roman" w:hAnsi="Times New Roman" w:cs="Times New Roman"/>
          <w:sz w:val="24"/>
          <w:lang w:eastAsia="pt-BR"/>
        </w:rPr>
      </w:pPr>
      <w:r w:rsidRPr="00C155B5">
        <w:rPr>
          <w:rFonts w:ascii="Times New Roman" w:eastAsia="Times New Roman" w:hAnsi="Times New Roman" w:cs="Times New Roman"/>
          <w:sz w:val="24"/>
          <w:lang w:eastAsia="pt-BR"/>
        </w:rPr>
        <w:t xml:space="preserve">§ 6º No exercício financeiro em que a fundação ou instituto de pesquisa não despender a totalidade dos recursos que lhe forem assinalados, a eventual sobra poderá ser revertida para outras atividades partidárias, conforme previstas no </w:t>
      </w:r>
      <w:r w:rsidRPr="00C155B5">
        <w:rPr>
          <w:rFonts w:ascii="Times New Roman" w:eastAsia="Times New Roman" w:hAnsi="Times New Roman" w:cs="Times New Roman"/>
          <w:i/>
          <w:sz w:val="24"/>
          <w:lang w:eastAsia="pt-BR"/>
        </w:rPr>
        <w:t>caput</w:t>
      </w:r>
      <w:r w:rsidRPr="00C155B5">
        <w:rPr>
          <w:rFonts w:ascii="Times New Roman" w:eastAsia="Times New Roman" w:hAnsi="Times New Roman" w:cs="Times New Roman"/>
          <w:sz w:val="24"/>
          <w:lang w:eastAsia="pt-BR"/>
        </w:rPr>
        <w:t xml:space="preserve"> deste artigo. </w:t>
      </w:r>
      <w:hyperlink r:id="rId14" w:history="1">
        <w:r w:rsidRPr="00C155B5">
          <w:rPr>
            <w:rFonts w:ascii="Times New Roman" w:eastAsia="Times New Roman" w:hAnsi="Times New Roman" w:cs="Times New Roman"/>
            <w:i/>
            <w:color w:val="0000FF"/>
            <w:sz w:val="24"/>
            <w:u w:val="single"/>
            <w:lang w:eastAsia="pt-BR"/>
          </w:rPr>
          <w:t>(Parágrafo acrescido pela Lei nº 12.891, de 11/12/2013)</w:t>
        </w:r>
      </w:hyperlink>
    </w:p>
    <w:p w:rsidR="00C155B5" w:rsidRPr="00C155B5" w:rsidRDefault="00C155B5" w:rsidP="00C155B5">
      <w:pPr>
        <w:jc w:val="center"/>
        <w:rPr>
          <w:rFonts w:ascii="Times New Roman" w:eastAsia="Times New Roman" w:hAnsi="Times New Roman" w:cs="Times New Roman"/>
          <w:sz w:val="24"/>
          <w:szCs w:val="20"/>
          <w:lang w:eastAsia="pt-BR"/>
        </w:rPr>
      </w:pPr>
    </w:p>
    <w:p w:rsidR="00C155B5" w:rsidRPr="00C155B5" w:rsidRDefault="00C155B5" w:rsidP="00C155B5">
      <w:pPr>
        <w:keepNext/>
        <w:jc w:val="center"/>
        <w:outlineLvl w:val="2"/>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TÍTULO IV</w:t>
      </w:r>
    </w:p>
    <w:p w:rsidR="00C155B5" w:rsidRPr="00C155B5" w:rsidRDefault="00C155B5" w:rsidP="00C155B5">
      <w:pPr>
        <w:jc w:val="cente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DO ACESSO GRATUITO AO RÁDIO E À TELEVISÃO</w:t>
      </w:r>
    </w:p>
    <w:p w:rsidR="00C155B5" w:rsidRPr="00C155B5" w:rsidRDefault="00C155B5" w:rsidP="00C155B5">
      <w:pPr>
        <w:jc w:val="center"/>
        <w:rPr>
          <w:rFonts w:ascii="Times New Roman" w:eastAsia="Times New Roman" w:hAnsi="Times New Roman" w:cs="Times New Roman"/>
          <w:sz w:val="24"/>
          <w:szCs w:val="20"/>
          <w:lang w:eastAsia="pt-BR"/>
        </w:rPr>
      </w:pP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Art. 45. A propaganda partidária gratuita, gravada ou ao vivo, efetuada mediante transmissão por rádio e televisão será realizada entre as dezenove horas e trinta minutos e as vinte e duas horas para, com exclusividade: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 - difundir os programas partidários;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 - transmitir mensagens aos filiados sobre a execução do programa partidário, dos eventos com este relacionados e das atividades congressuais do partido;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III - divulgar a posição do partido em relação a temas político-comunitários. </w:t>
      </w:r>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IV - promover e difundir a participação política feminina, dedicando às mulheres o tempo que será fixado pelo órgão nacional de direção partidária, observado o mínimo de 10% (dez por cento). </w:t>
      </w:r>
      <w:hyperlink r:id="rId15" w:history="1">
        <w:r w:rsidRPr="00C155B5">
          <w:rPr>
            <w:rFonts w:ascii="Times New Roman" w:eastAsia="Times New Roman" w:hAnsi="Times New Roman" w:cs="Times New Roman"/>
            <w:i/>
            <w:color w:val="0000FF"/>
            <w:sz w:val="24"/>
            <w:szCs w:val="20"/>
            <w:u w:val="single"/>
            <w:lang w:eastAsia="pt-BR"/>
          </w:rPr>
          <w:t>(Inciso acrescido pela Lei nº 12.034, de 29/9/2009)</w:t>
        </w:r>
      </w:hyperlink>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1º Fica vedada, nos programas de que trata este Título: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 - a participação de pessoa filiada a partido que não o responsável pelo programa;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 - a divulgação de propaganda de candidatos a cargos eletivos e a defesa de interesses pessoais ou de outros partidos; </w:t>
      </w:r>
    </w:p>
    <w:p w:rsidR="00C155B5" w:rsidRPr="00C155B5" w:rsidRDefault="00C155B5" w:rsidP="00C155B5">
      <w:pPr>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III - a utilização de imagens ou cenas incorretas ou incompletas, efeitos ou quaisquer outros recursos que distorçam ou falseiem os fatos ou a sua comunicação. </w:t>
      </w:r>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2º O partido que contrariar o disposto neste artigo será punido: </w:t>
      </w:r>
      <w:hyperlink r:id="rId16" w:history="1">
        <w:r w:rsidRPr="00C155B5">
          <w:rPr>
            <w:rFonts w:ascii="Times New Roman" w:eastAsia="Times New Roman" w:hAnsi="Times New Roman" w:cs="Times New Roman"/>
            <w:i/>
            <w:color w:val="0000FF"/>
            <w:sz w:val="24"/>
            <w:szCs w:val="20"/>
            <w:u w:val="single"/>
            <w:lang w:eastAsia="pt-BR"/>
          </w:rPr>
          <w:t>(“Caput” do parágrafo com redação dada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I - quando a infração ocorrer nas transmissões em bloco, com a cassação do direito de transmissão no semestre seguinte; </w:t>
      </w:r>
      <w:hyperlink r:id="rId17" w:history="1">
        <w:r w:rsidRPr="00C155B5">
          <w:rPr>
            <w:rFonts w:ascii="Times New Roman" w:eastAsia="Times New Roman" w:hAnsi="Times New Roman" w:cs="Times New Roman"/>
            <w:i/>
            <w:color w:val="0000FF"/>
            <w:sz w:val="24"/>
            <w:szCs w:val="20"/>
            <w:u w:val="single"/>
            <w:lang w:eastAsia="pt-BR"/>
          </w:rPr>
          <w:t>(Inciso acrescido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II - quando a infração ocorrer nas transmissões em inserções, com a cassação de tempo equivalente a 5 (cinco) vezes ao da inserção ilícita, no semestre seguinte. </w:t>
      </w:r>
      <w:hyperlink r:id="rId18" w:history="1">
        <w:r w:rsidRPr="00C155B5">
          <w:rPr>
            <w:rFonts w:ascii="Times New Roman" w:eastAsia="Times New Roman" w:hAnsi="Times New Roman" w:cs="Times New Roman"/>
            <w:i/>
            <w:color w:val="0000FF"/>
            <w:sz w:val="24"/>
            <w:szCs w:val="20"/>
            <w:u w:val="single"/>
            <w:lang w:eastAsia="pt-BR"/>
          </w:rPr>
          <w:t>(Inciso acrescido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3º A representação, que somente poderá ser oferecida por partido político, será julgada pelo Tribunal Superior Eleitoral quando se tratar de programa em bloco ou inserções nacionais e pelos Tribunais Regionais Eleitorais quando se tratar de programas em bloco ou </w:t>
      </w:r>
      <w:r w:rsidRPr="00C155B5">
        <w:rPr>
          <w:rFonts w:ascii="Times New Roman" w:eastAsia="Times New Roman" w:hAnsi="Times New Roman" w:cs="Times New Roman"/>
          <w:sz w:val="24"/>
          <w:szCs w:val="20"/>
          <w:lang w:eastAsia="pt-BR"/>
        </w:rPr>
        <w:lastRenderedPageBreak/>
        <w:t xml:space="preserve">inserções transmitidos nos Estados correspondentes. </w:t>
      </w:r>
      <w:hyperlink r:id="rId19" w:history="1">
        <w:r w:rsidRPr="00C155B5">
          <w:rPr>
            <w:rFonts w:ascii="Times New Roman" w:eastAsia="Times New Roman" w:hAnsi="Times New Roman" w:cs="Times New Roman"/>
            <w:i/>
            <w:color w:val="0000FF"/>
            <w:sz w:val="24"/>
            <w:szCs w:val="20"/>
            <w:u w:val="single"/>
            <w:lang w:eastAsia="pt-BR"/>
          </w:rPr>
          <w:t>(Parágrafo com redação dada pela Lei nº 12.034, de 29/9/2009)</w:t>
        </w:r>
      </w:hyperlink>
      <w:r w:rsidRPr="00C155B5">
        <w:rPr>
          <w:rFonts w:ascii="Times New Roman" w:eastAsia="Times New Roman" w:hAnsi="Times New Roman" w:cs="Times New Roman"/>
          <w:i/>
          <w:sz w:val="24"/>
          <w:szCs w:val="20"/>
          <w:lang w:eastAsia="pt-BR"/>
        </w:rPr>
        <w:t xml:space="preserve">  </w:t>
      </w:r>
      <w:hyperlink r:id="rId20" w:history="1">
        <w:r w:rsidRPr="00C155B5">
          <w:rPr>
            <w:rFonts w:ascii="Times New Roman" w:eastAsia="Times New Roman" w:hAnsi="Times New Roman" w:cs="Times New Roman"/>
            <w:i/>
            <w:color w:val="0000FF"/>
            <w:sz w:val="24"/>
            <w:szCs w:val="20"/>
            <w:u w:val="single"/>
            <w:lang w:eastAsia="pt-BR"/>
          </w:rPr>
          <w:t>(Vide ADIN nº 4.617/2011)</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4º O prazo para o oferecimento da representação encerra-se no último dia do semestre em que for veiculado o programa impugnado, ou se este tiver sido transmitido nos últimos 30 (trinta) dias desse período, até o 15º (décimo quinto) dia do semestre seguinte. </w:t>
      </w:r>
      <w:hyperlink r:id="rId21" w:history="1">
        <w:r w:rsidRPr="00C155B5">
          <w:rPr>
            <w:rFonts w:ascii="Times New Roman" w:eastAsia="Times New Roman" w:hAnsi="Times New Roman" w:cs="Times New Roman"/>
            <w:i/>
            <w:color w:val="0000FF"/>
            <w:sz w:val="24"/>
            <w:szCs w:val="20"/>
            <w:u w:val="single"/>
            <w:lang w:eastAsia="pt-BR"/>
          </w:rPr>
          <w:t>(Parágrafo acrescido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5º Das decisões dos Tribunais Regionais Eleitorais que julgarem procedente representação, cassando o direito de transmissão de propaganda partidária, caberá recurso para o Tribunal Superior Eleitoral, que será recebido com efeito suspensivo. </w:t>
      </w:r>
      <w:hyperlink r:id="rId22" w:history="1">
        <w:r w:rsidRPr="00C155B5">
          <w:rPr>
            <w:rFonts w:ascii="Times New Roman" w:eastAsia="Times New Roman" w:hAnsi="Times New Roman" w:cs="Times New Roman"/>
            <w:i/>
            <w:color w:val="0000FF"/>
            <w:sz w:val="24"/>
            <w:szCs w:val="20"/>
            <w:u w:val="single"/>
            <w:lang w:eastAsia="pt-BR"/>
          </w:rPr>
          <w:t>(Parágrafo acrescido pela Lei nº 12.034, de 29/9/2009)</w:t>
        </w:r>
      </w:hyperlink>
    </w:p>
    <w:p w:rsidR="00C155B5" w:rsidRPr="00C155B5" w:rsidRDefault="00C155B5" w:rsidP="00C155B5">
      <w:pPr>
        <w:ind w:firstLine="1134"/>
        <w:rPr>
          <w:rFonts w:ascii="Times New Roman" w:eastAsia="Times New Roman" w:hAnsi="Times New Roman" w:cs="Times New Roman"/>
          <w:i/>
          <w:sz w:val="24"/>
          <w:szCs w:val="20"/>
          <w:lang w:eastAsia="pt-BR"/>
        </w:rPr>
      </w:pPr>
      <w:r w:rsidRPr="00C155B5">
        <w:rPr>
          <w:rFonts w:ascii="Times New Roman" w:eastAsia="Times New Roman" w:hAnsi="Times New Roman" w:cs="Times New Roman"/>
          <w:sz w:val="24"/>
          <w:szCs w:val="20"/>
          <w:lang w:eastAsia="pt-BR"/>
        </w:rPr>
        <w:t xml:space="preserve">§ 6º A propaganda partidária, no rádio e na televisão, fica restrita aos horários gratuitos disciplinados nesta Lei, com proibição de propaganda paga. </w:t>
      </w:r>
      <w:hyperlink r:id="rId23" w:history="1">
        <w:r w:rsidRPr="00C155B5">
          <w:rPr>
            <w:rFonts w:ascii="Times New Roman" w:eastAsia="Times New Roman" w:hAnsi="Times New Roman" w:cs="Times New Roman"/>
            <w:i/>
            <w:color w:val="0000FF"/>
            <w:sz w:val="24"/>
            <w:szCs w:val="20"/>
            <w:u w:val="single"/>
            <w:lang w:eastAsia="pt-BR"/>
          </w:rPr>
          <w:t>(Parágrafo acrescido pela Lei nº 12.034, de 29/9/2009)</w:t>
        </w:r>
      </w:hyperlink>
    </w:p>
    <w:p w:rsidR="00C155B5" w:rsidRPr="00C155B5" w:rsidRDefault="00C155B5" w:rsidP="00C155B5">
      <w:pP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Pr="00C155B5" w:rsidRDefault="00C155B5" w:rsidP="00C155B5">
      <w:pPr>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Default="00C155B5" w:rsidP="00C155B5">
      <w:pPr>
        <w:tabs>
          <w:tab w:val="center" w:pos="4419"/>
          <w:tab w:val="right" w:pos="8838"/>
        </w:tabs>
        <w:jc w:val="center"/>
        <w:rPr>
          <w:rFonts w:ascii="Times New Roman" w:eastAsia="Times New Roman" w:hAnsi="Times New Roman" w:cs="Times New Roman"/>
          <w:sz w:val="24"/>
          <w:lang w:eastAsia="pt-BR"/>
        </w:rPr>
      </w:pPr>
    </w:p>
    <w:p w:rsidR="00C155B5" w:rsidRPr="00C155B5" w:rsidRDefault="00C155B5" w:rsidP="00C155B5">
      <w:pPr>
        <w:tabs>
          <w:tab w:val="center" w:pos="4419"/>
          <w:tab w:val="right" w:pos="8838"/>
        </w:tabs>
        <w:jc w:val="center"/>
        <w:rPr>
          <w:rFonts w:ascii="Times New Roman" w:eastAsia="Times New Roman" w:hAnsi="Times New Roman" w:cs="Times New Roman"/>
          <w:b/>
          <w:sz w:val="28"/>
          <w:szCs w:val="20"/>
          <w:lang w:eastAsia="pt-BR"/>
        </w:rPr>
      </w:pPr>
      <w:r w:rsidRPr="00C155B5">
        <w:rPr>
          <w:rFonts w:ascii="Times New Roman" w:eastAsia="Times New Roman" w:hAnsi="Times New Roman" w:cs="Times New Roman"/>
          <w:b/>
          <w:sz w:val="28"/>
          <w:szCs w:val="20"/>
          <w:lang w:eastAsia="pt-BR"/>
        </w:rPr>
        <w:t>LEI Nº 9.100, DE 29 DE SETEMBRO DE 1995</w:t>
      </w:r>
    </w:p>
    <w:p w:rsidR="00C155B5" w:rsidRPr="00C155B5" w:rsidRDefault="00C155B5" w:rsidP="00C155B5">
      <w:pPr>
        <w:tabs>
          <w:tab w:val="center" w:pos="4419"/>
          <w:tab w:val="right" w:pos="8838"/>
        </w:tabs>
        <w:jc w:val="left"/>
        <w:rPr>
          <w:rFonts w:ascii="Times New Roman" w:eastAsia="Times New Roman" w:hAnsi="Times New Roman" w:cs="Times New Roman"/>
          <w:sz w:val="24"/>
          <w:szCs w:val="20"/>
          <w:lang w:eastAsia="pt-BR"/>
        </w:rPr>
      </w:pPr>
    </w:p>
    <w:p w:rsidR="00C155B5" w:rsidRPr="00C155B5" w:rsidRDefault="00C155B5" w:rsidP="00C155B5">
      <w:pPr>
        <w:tabs>
          <w:tab w:val="center" w:pos="4419"/>
          <w:tab w:val="right" w:pos="8838"/>
        </w:tabs>
        <w:ind w:left="4536"/>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Estabelece normas para a realização das eleições municipais de 3 de outubro de 1996, e dá outras providências. </w:t>
      </w:r>
    </w:p>
    <w:p w:rsidR="00C155B5" w:rsidRPr="00C155B5" w:rsidRDefault="00C155B5" w:rsidP="00C155B5">
      <w:pPr>
        <w:tabs>
          <w:tab w:val="center" w:pos="4419"/>
          <w:tab w:val="right" w:pos="8838"/>
        </w:tabs>
        <w:jc w:val="left"/>
        <w:rPr>
          <w:rFonts w:ascii="Times New Roman" w:eastAsia="Times New Roman" w:hAnsi="Times New Roman" w:cs="Times New Roman"/>
          <w:sz w:val="24"/>
          <w:szCs w:val="20"/>
          <w:lang w:eastAsia="pt-BR"/>
        </w:rPr>
      </w:pP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O PRESIDENTE DA REPÚBLICA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Faço saber que o Congresso Nacional decreta e eu sanciono a seguinte Lei: </w:t>
      </w:r>
    </w:p>
    <w:p w:rsidR="00C155B5" w:rsidRPr="00C155B5" w:rsidRDefault="00C155B5" w:rsidP="00C155B5">
      <w:pPr>
        <w:tabs>
          <w:tab w:val="center" w:pos="4419"/>
          <w:tab w:val="right" w:pos="8838"/>
        </w:tabs>
        <w:rPr>
          <w:rFonts w:ascii="Times New Roman" w:eastAsia="Times New Roman" w:hAnsi="Times New Roman" w:cs="Times New Roman"/>
          <w:sz w:val="24"/>
          <w:szCs w:val="20"/>
          <w:lang w:eastAsia="pt-BR"/>
        </w:rPr>
      </w:pP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Art. 1º As eleições para Prefeitos, Vice-Prefeitos e Vereadores serão realizadas, simultaneamente, em todo o País, no dia 3 de outubro de 1996.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Parágrafo único. Na mesma data serão realizadas eleições para Prefeitos, Vice-Prefeitos e Vereadores nos municípios que venham a ser criados até 31 de dezembro de 1995. </w:t>
      </w:r>
    </w:p>
    <w:p w:rsidR="00C155B5" w:rsidRPr="00C155B5" w:rsidRDefault="00C155B5" w:rsidP="00C155B5">
      <w:pPr>
        <w:tabs>
          <w:tab w:val="center" w:pos="4419"/>
          <w:tab w:val="right" w:pos="8838"/>
        </w:tabs>
        <w:rPr>
          <w:rFonts w:ascii="Times New Roman" w:eastAsia="Times New Roman" w:hAnsi="Times New Roman" w:cs="Times New Roman"/>
          <w:sz w:val="24"/>
          <w:szCs w:val="20"/>
          <w:lang w:eastAsia="pt-BR"/>
        </w:rPr>
      </w:pP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Art. 2º Será considerado eleito Prefeito o candidato que obtiver a maioria de votos, não computados os em branco e os nulos.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1º A eleição do Prefeito importará a do Vice-Prefeito com ele registrado.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2º Nos municípios com mais de duzentos mil eleitores, serão considerados eleitos o Prefeito e o Vice-Prefeito com ele registrado que obtiverem a maioria absoluta dos votos, não computados os em branco e os nulos.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3º Se nenhum candidato alcançar maioria absoluta na primeira votação, far-se-á nova eleição no dia 15 de novembro de 1996, concorrendo os dois candidatos mais votados e considerando-se eleito aquele que obtiver a maioria dos votos válidos.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4º Para o segundo turno, qualificar-se-á o mais idoso, se remanescer em segundo lugar mais de um candidato com a mesma votação. </w:t>
      </w:r>
    </w:p>
    <w:p w:rsidR="00C155B5" w:rsidRPr="00C155B5" w:rsidRDefault="00C155B5" w:rsidP="00C155B5">
      <w:pPr>
        <w:tabs>
          <w:tab w:val="center" w:pos="4419"/>
          <w:tab w:val="right" w:pos="8838"/>
        </w:tabs>
        <w:ind w:firstLine="1134"/>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 xml:space="preserve">§ 5º Se houver empate no segundo turno, de que trata o § 3º deste artigo, será considerado eleito o candidato mais idoso. </w:t>
      </w:r>
    </w:p>
    <w:p w:rsidR="00C155B5" w:rsidRPr="00C155B5" w:rsidRDefault="00C155B5" w:rsidP="00C155B5">
      <w:pPr>
        <w:tabs>
          <w:tab w:val="center" w:pos="4419"/>
          <w:tab w:val="right" w:pos="8838"/>
        </w:tabs>
        <w:rPr>
          <w:rFonts w:ascii="Times New Roman" w:eastAsia="Times New Roman" w:hAnsi="Times New Roman" w:cs="Times New Roman"/>
          <w:sz w:val="24"/>
          <w:szCs w:val="20"/>
          <w:lang w:eastAsia="pt-BR"/>
        </w:rPr>
      </w:pPr>
      <w:r w:rsidRPr="00C155B5">
        <w:rPr>
          <w:rFonts w:ascii="Times New Roman" w:eastAsia="Times New Roman" w:hAnsi="Times New Roman" w:cs="Times New Roman"/>
          <w:sz w:val="24"/>
          <w:szCs w:val="20"/>
          <w:lang w:eastAsia="pt-BR"/>
        </w:rPr>
        <w:t>..............................................................................................................................................................................................................................................................................................................</w:t>
      </w:r>
    </w:p>
    <w:p w:rsidR="00C155B5" w:rsidRDefault="00C155B5" w:rsidP="00C155B5">
      <w:pPr>
        <w:jc w:val="center"/>
        <w:rPr>
          <w:b/>
          <w:sz w:val="24"/>
        </w:rPr>
      </w:pPr>
      <w:bookmarkStart w:id="12" w:name="z946622_FIMDOCUMENTO"/>
      <w:bookmarkEnd w:id="11"/>
      <w:bookmarkEnd w:id="1"/>
    </w:p>
    <w:p w:rsidR="00C155B5" w:rsidRPr="00C155B5" w:rsidRDefault="00C155B5" w:rsidP="00C155B5">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C155B5" w:rsidRPr="00C155B5" w:rsidSect="00C155B5">
      <w:headerReference w:type="even" r:id="rId24"/>
      <w:headerReference w:type="default" r:id="rId25"/>
      <w:footerReference w:type="even" r:id="rId26"/>
      <w:footerReference w:type="default" r:id="rId27"/>
      <w:footerReference w:type="first" r:id="rId2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5B5" w:rsidRDefault="00C155B5" w:rsidP="00C155B5">
      <w:r>
        <w:separator/>
      </w:r>
    </w:p>
  </w:endnote>
  <w:endnote w:type="continuationSeparator" w:id="0">
    <w:p w:rsidR="00C155B5" w:rsidRDefault="00C155B5" w:rsidP="00C1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5" w:rsidRDefault="00C155B5" w:rsidP="00C155B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C155B5" w:rsidRDefault="00C155B5" w:rsidP="00C155B5">
    <w:pPr>
      <w:pStyle w:val="Rodap"/>
      <w:jc w:val="center"/>
      <w:rPr>
        <w:rFonts w:ascii="Courier New" w:hAnsi="Courier New" w:cs="Courier New"/>
      </w:rPr>
    </w:pPr>
    <w:r>
      <w:rPr>
        <w:rFonts w:ascii="Courier New" w:hAnsi="Courier New" w:cs="Courier New"/>
      </w:rPr>
      <w:t>CONFERE COM O ORIGINAL AUTENTICADO</w:t>
    </w:r>
  </w:p>
  <w:p w:rsidR="00C155B5" w:rsidRPr="00C155B5" w:rsidRDefault="00C155B5" w:rsidP="00C155B5">
    <w:pPr>
      <w:pStyle w:val="Rodap"/>
      <w:jc w:val="center"/>
    </w:pPr>
    <w:r>
      <w:t>PL 346/2015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5" w:rsidRDefault="00C155B5" w:rsidP="00C155B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C155B5" w:rsidRDefault="00C155B5" w:rsidP="00C155B5">
    <w:pPr>
      <w:pStyle w:val="Rodap"/>
      <w:jc w:val="center"/>
      <w:rPr>
        <w:rFonts w:ascii="Courier New" w:hAnsi="Courier New" w:cs="Courier New"/>
      </w:rPr>
    </w:pPr>
    <w:r>
      <w:rPr>
        <w:rFonts w:ascii="Courier New" w:hAnsi="Courier New" w:cs="Courier New"/>
      </w:rPr>
      <w:t>CONFERE COM O ORIGINAL AUTENTICADO</w:t>
    </w:r>
  </w:p>
  <w:p w:rsidR="00C155B5" w:rsidRPr="00C155B5" w:rsidRDefault="00C155B5" w:rsidP="00C155B5">
    <w:pPr>
      <w:pStyle w:val="Rodap"/>
      <w:jc w:val="center"/>
    </w:pPr>
    <w:r>
      <w:t>PL 346/2015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5" w:rsidRDefault="00C155B5" w:rsidP="00C155B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C155B5" w:rsidRPr="00C155B5" w:rsidRDefault="00C155B5" w:rsidP="00C155B5">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5B5" w:rsidRDefault="00C155B5" w:rsidP="00C155B5">
      <w:r>
        <w:separator/>
      </w:r>
    </w:p>
  </w:footnote>
  <w:footnote w:type="continuationSeparator" w:id="0">
    <w:p w:rsidR="00C155B5" w:rsidRDefault="00C155B5" w:rsidP="00C15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5" w:rsidRPr="00C155B5" w:rsidRDefault="00C155B5" w:rsidP="00C155B5">
    <w:pPr>
      <w:pStyle w:val="Cabealho"/>
      <w:jc w:val="left"/>
    </w:pPr>
    <w:r>
      <w:fldChar w:fldCharType="begin"/>
    </w:r>
    <w:r>
      <w:instrText xml:space="preserve"> PAGE  \* Arabic  \* MERGEFORMAT </w:instrText>
    </w:r>
    <w:r>
      <w:fldChar w:fldCharType="separate"/>
    </w:r>
    <w:r w:rsidR="00AF5064">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5" w:rsidRPr="00C155B5" w:rsidRDefault="00C155B5" w:rsidP="00C155B5">
    <w:pPr>
      <w:pStyle w:val="Cabealho"/>
      <w:jc w:val="right"/>
    </w:pPr>
    <w:r>
      <w:fldChar w:fldCharType="begin"/>
    </w:r>
    <w:r>
      <w:instrText xml:space="preserve"> PAGE  \* Arabic  \* MERGEFORMAT </w:instrText>
    </w:r>
    <w:r>
      <w:fldChar w:fldCharType="separate"/>
    </w:r>
    <w:r w:rsidR="00AF5064">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5B5"/>
    <w:rsid w:val="00A054BE"/>
    <w:rsid w:val="00AF5064"/>
    <w:rsid w:val="00C155B5"/>
    <w:rsid w:val="00DC6D2A"/>
    <w:rsid w:val="00DF03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155B5"/>
    <w:rPr>
      <w:rFonts w:ascii="Tahoma" w:hAnsi="Tahoma" w:cs="Tahoma"/>
      <w:sz w:val="16"/>
      <w:szCs w:val="16"/>
    </w:rPr>
  </w:style>
  <w:style w:type="character" w:customStyle="1" w:styleId="TextodebaloChar">
    <w:name w:val="Texto de balão Char"/>
    <w:basedOn w:val="Fontepargpadro"/>
    <w:link w:val="Textodebalo"/>
    <w:uiPriority w:val="99"/>
    <w:semiHidden/>
    <w:rsid w:val="00C155B5"/>
    <w:rPr>
      <w:rFonts w:ascii="Tahoma" w:hAnsi="Tahoma" w:cs="Tahoma"/>
      <w:sz w:val="16"/>
      <w:szCs w:val="16"/>
    </w:rPr>
  </w:style>
  <w:style w:type="paragraph" w:styleId="Cabealho">
    <w:name w:val="header"/>
    <w:basedOn w:val="Normal"/>
    <w:link w:val="CabealhoChar"/>
    <w:uiPriority w:val="99"/>
    <w:unhideWhenUsed/>
    <w:rsid w:val="00C155B5"/>
    <w:pPr>
      <w:tabs>
        <w:tab w:val="center" w:pos="4252"/>
        <w:tab w:val="right" w:pos="8504"/>
      </w:tabs>
    </w:pPr>
  </w:style>
  <w:style w:type="character" w:customStyle="1" w:styleId="CabealhoChar">
    <w:name w:val="Cabeçalho Char"/>
    <w:basedOn w:val="Fontepargpadro"/>
    <w:link w:val="Cabealho"/>
    <w:uiPriority w:val="99"/>
    <w:rsid w:val="00C155B5"/>
    <w:rPr>
      <w:sz w:val="20"/>
    </w:rPr>
  </w:style>
  <w:style w:type="paragraph" w:styleId="Rodap">
    <w:name w:val="footer"/>
    <w:basedOn w:val="Normal"/>
    <w:link w:val="RodapChar"/>
    <w:uiPriority w:val="99"/>
    <w:unhideWhenUsed/>
    <w:rsid w:val="00C155B5"/>
    <w:pPr>
      <w:tabs>
        <w:tab w:val="center" w:pos="4252"/>
        <w:tab w:val="right" w:pos="8504"/>
      </w:tabs>
    </w:pPr>
  </w:style>
  <w:style w:type="character" w:customStyle="1" w:styleId="RodapChar">
    <w:name w:val="Rodapé Char"/>
    <w:basedOn w:val="Fontepargpadro"/>
    <w:link w:val="Rodap"/>
    <w:uiPriority w:val="99"/>
    <w:rsid w:val="00C155B5"/>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155B5"/>
    <w:rPr>
      <w:rFonts w:ascii="Tahoma" w:hAnsi="Tahoma" w:cs="Tahoma"/>
      <w:sz w:val="16"/>
      <w:szCs w:val="16"/>
    </w:rPr>
  </w:style>
  <w:style w:type="character" w:customStyle="1" w:styleId="TextodebaloChar">
    <w:name w:val="Texto de balão Char"/>
    <w:basedOn w:val="Fontepargpadro"/>
    <w:link w:val="Textodebalo"/>
    <w:uiPriority w:val="99"/>
    <w:semiHidden/>
    <w:rsid w:val="00C155B5"/>
    <w:rPr>
      <w:rFonts w:ascii="Tahoma" w:hAnsi="Tahoma" w:cs="Tahoma"/>
      <w:sz w:val="16"/>
      <w:szCs w:val="16"/>
    </w:rPr>
  </w:style>
  <w:style w:type="paragraph" w:styleId="Cabealho">
    <w:name w:val="header"/>
    <w:basedOn w:val="Normal"/>
    <w:link w:val="CabealhoChar"/>
    <w:uiPriority w:val="99"/>
    <w:unhideWhenUsed/>
    <w:rsid w:val="00C155B5"/>
    <w:pPr>
      <w:tabs>
        <w:tab w:val="center" w:pos="4252"/>
        <w:tab w:val="right" w:pos="8504"/>
      </w:tabs>
    </w:pPr>
  </w:style>
  <w:style w:type="character" w:customStyle="1" w:styleId="CabealhoChar">
    <w:name w:val="Cabeçalho Char"/>
    <w:basedOn w:val="Fontepargpadro"/>
    <w:link w:val="Cabealho"/>
    <w:uiPriority w:val="99"/>
    <w:rsid w:val="00C155B5"/>
    <w:rPr>
      <w:sz w:val="20"/>
    </w:rPr>
  </w:style>
  <w:style w:type="paragraph" w:styleId="Rodap">
    <w:name w:val="footer"/>
    <w:basedOn w:val="Normal"/>
    <w:link w:val="RodapChar"/>
    <w:uiPriority w:val="99"/>
    <w:unhideWhenUsed/>
    <w:rsid w:val="00C155B5"/>
    <w:pPr>
      <w:tabs>
        <w:tab w:val="center" w:pos="4252"/>
        <w:tab w:val="right" w:pos="8504"/>
      </w:tabs>
    </w:pPr>
  </w:style>
  <w:style w:type="character" w:customStyle="1" w:styleId="RodapChar">
    <w:name w:val="Rodapé Char"/>
    <w:basedOn w:val="Fontepargpadro"/>
    <w:link w:val="Rodap"/>
    <w:uiPriority w:val="99"/>
    <w:rsid w:val="00C155B5"/>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91412&amp;seqTexto=116477&amp;PalavrasDestaque=" TargetMode="External"/><Relationship Id="rId13" Type="http://schemas.openxmlformats.org/officeDocument/2006/relationships/hyperlink" Target="http://www2.camara.gov.br/internet/legislacao/legin.html/textos/visualizarTexto.html?ideNorma=591412&amp;seqTexto=116477&amp;PalavrasDestaque=" TargetMode="External"/><Relationship Id="rId18" Type="http://schemas.openxmlformats.org/officeDocument/2006/relationships/hyperlink" Target="http://www2.camara.gov.br/internet/legislacao/legin.html/textos/visualizarTexto.html?ideNorma=591412&amp;seqTexto=116477&amp;PalavrasDestaqu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91412&amp;seqTexto=116477&amp;PalavrasDestaque=" TargetMode="Externa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591412&amp;seqTexto=116477&amp;PalavrasDestaque=" TargetMode="External"/><Relationship Id="rId17" Type="http://schemas.openxmlformats.org/officeDocument/2006/relationships/hyperlink" Target="http://www2.camara.gov.br/internet/legislacao/legin.html/textos/visualizarTexto.html?ideNorma=591412&amp;seqTexto=116477&amp;PalavrasDestaque=" TargetMode="External"/><Relationship Id="rId25" Type="http://schemas.openxmlformats.org/officeDocument/2006/relationships/header" Target="header2.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91412&amp;seqTexto=116477&amp;PalavrasDestaque=" TargetMode="External"/><Relationship Id="rId20" Type="http://schemas.openxmlformats.org/officeDocument/2006/relationships/hyperlink" Target="http://www.stf.jus.br/portal/processo/verProcessoAndamento.asp?incidente=4092269"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leg.br/legin/fed/lei/2013/lei-12891-12-dezembro-2013-777674-publicacaooriginal-142274-pl.htm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91412&amp;seqTexto=116477&amp;PalavrasDestaque=" TargetMode="External"/><Relationship Id="rId23" Type="http://schemas.openxmlformats.org/officeDocument/2006/relationships/hyperlink" Target="http://www2.camara.gov.br/internet/legislacao/legin.html/textos/visualizarTexto.html?ideNorma=591412&amp;seqTexto=116477&amp;PalavrasDestaque=" TargetMode="External"/><Relationship Id="rId28" Type="http://schemas.openxmlformats.org/officeDocument/2006/relationships/footer" Target="footer3.xml"/><Relationship Id="rId10" Type="http://schemas.openxmlformats.org/officeDocument/2006/relationships/hyperlink" Target="http://www2.camara.gov.br/internet/legislacao/legin.html/textos/visualizarTexto.html?ideNorma=365408&amp;seqTexto=1&amp;PalavrasDestaque=" TargetMode="External"/><Relationship Id="rId19" Type="http://schemas.openxmlformats.org/officeDocument/2006/relationships/hyperlink" Target="http://www2.camara.gov.br/internet/legislacao/legin.html/textos/visualizarTexto.html?ideNorma=591412&amp;seqTexto=116477&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91412&amp;seqTexto=116477&amp;PalavrasDestaque=" TargetMode="External"/><Relationship Id="rId14" Type="http://schemas.openxmlformats.org/officeDocument/2006/relationships/hyperlink" Target="http://www2.camara.leg.br/legin/fed/lei/2013/lei-12891-12-dezembro-2013-777674-publicacaooriginal-142274-pl.html" TargetMode="External"/><Relationship Id="rId22" Type="http://schemas.openxmlformats.org/officeDocument/2006/relationships/hyperlink" Target="http://www2.camara.gov.br/internet/legislacao/legin.html/textos/visualizarTexto.html?ideNorma=591412&amp;seqTexto=116477&amp;PalavrasDestaque="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2197</Words>
  <Characters>13209</Characters>
  <Application>Microsoft Office Word</Application>
  <DocSecurity>0</DocSecurity>
  <Lines>269</Lines>
  <Paragraphs>125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dcterms:created xsi:type="dcterms:W3CDTF">2015-03-02T20:03:00Z</dcterms:created>
  <dcterms:modified xsi:type="dcterms:W3CDTF">2015-03-03T21:09:00Z</dcterms:modified>
</cp:coreProperties>
</file>