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BE" w:rsidRPr="002A72BE" w:rsidRDefault="002A72BE" w:rsidP="002A72BE">
      <w:pPr>
        <w:shd w:val="clear" w:color="auto" w:fill="FFFFFF"/>
        <w:spacing w:before="450" w:after="450" w:line="240" w:lineRule="auto"/>
        <w:ind w:firstLine="0"/>
        <w:jc w:val="center"/>
        <w:rPr>
          <w:rFonts w:ascii="Arial" w:eastAsia="Times New Roman" w:hAnsi="Arial" w:cs="Arial"/>
          <w:b/>
          <w:bCs/>
          <w:caps/>
          <w:lang w:eastAsia="pt-BR"/>
        </w:rPr>
      </w:pPr>
      <w:r w:rsidRPr="002A72BE">
        <w:rPr>
          <w:rFonts w:ascii="Arial" w:eastAsia="Times New Roman" w:hAnsi="Arial" w:cs="Arial"/>
          <w:b/>
          <w:bCs/>
          <w:caps/>
          <w:lang w:eastAsia="pt-BR"/>
        </w:rPr>
        <w:t>MEDIDA PROVISÓRIA Nº 983, DE 16 DE JUNHO DE 2020</w:t>
      </w:r>
    </w:p>
    <w:p w:rsidR="002A72BE" w:rsidRPr="002A72BE" w:rsidRDefault="002A72BE" w:rsidP="002A72BE">
      <w:pPr>
        <w:shd w:val="clear" w:color="auto" w:fill="FFFFFF"/>
        <w:spacing w:after="450" w:line="240" w:lineRule="auto"/>
        <w:ind w:left="5400" w:firstLine="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Dispõe sobre as assinaturas eletrônicas em comunicações com entes públicos e em questões de saúde e sobre as licenças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softwares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2A72BE">
        <w:rPr>
          <w:rFonts w:ascii="Arial" w:eastAsia="Times New Roman" w:hAnsi="Arial" w:cs="Arial"/>
          <w:lang w:eastAsia="pt-BR"/>
        </w:rPr>
        <w:t>desenvolvidos por entes públicos.</w:t>
      </w:r>
    </w:p>
    <w:p w:rsid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O PRESIDENTE DA REPÚBLICA</w:t>
      </w:r>
      <w:r w:rsidRPr="002A72BE">
        <w:rPr>
          <w:rFonts w:ascii="Arial" w:eastAsia="Times New Roman" w:hAnsi="Arial" w:cs="Arial"/>
          <w:lang w:eastAsia="pt-BR"/>
        </w:rPr>
        <w:t>, no uso da atribuição que lhe confere o</w:t>
      </w:r>
      <w:hyperlink r:id="rId4" w:tgtFrame="_blank" w:history="1">
        <w:r w:rsidRPr="002A72BE">
          <w:rPr>
            <w:rFonts w:ascii="Arial" w:eastAsia="Times New Roman" w:hAnsi="Arial" w:cs="Arial"/>
            <w:lang w:eastAsia="pt-BR"/>
          </w:rPr>
          <w:t> art. 62 da Constituição</w:t>
        </w:r>
      </w:hyperlink>
      <w:r w:rsidRPr="002A72BE">
        <w:rPr>
          <w:rFonts w:ascii="Arial" w:eastAsia="Times New Roman" w:hAnsi="Arial" w:cs="Arial"/>
          <w:lang w:eastAsia="pt-BR"/>
        </w:rPr>
        <w:t>, adota a seguinte Medida Provisória, com força de lei: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CAPÍTULO I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DA ASSINATURA ELETRÔNICA EM COMUNICAÇÕES COM ENTES PÚBLICOS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Objeto e âmbito de aplicação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1º Este Capítulo estabelece regras e procedimentos sobre assinatura eletrônica no âmbito: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da comunicação interna dos órgãos e entidades da administração direta, autárquica e fundacional dos Poderes e órgãos constitucionalmente autônomos dos entes federativos;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da comunicação entre pessoas naturais ou pessoas jurídicas de direito privado e os entes públicos de que trata o inciso I;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III - da comunicação entre os entes públicos de que trata o inciso I.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Parágrafo único. O disposto neste Capítulo não se aplica: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aos processos judiciais;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à comunicação: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a) entre pessoas naturais ou entre pessoas jurídicas de direito privado;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b) na qual seja permitido o anonimato;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c) na qual seja dispensada a identificação do particular;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III - aos sistemas de ouvidoria de entes públicos;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IV - aos programas de assistência a vítimas e a testemunhas ameaçadas;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V - às hipóteses outras nas quais deva se dar garantia de preservação de sigilo da identidade do particular na atuação perante o ente público.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Classificação das assinaturas eletrônicas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2º As assinaturas eletrônicas são classificadas em: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assinatura eletrônica simples - aquela que: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lastRenderedPageBreak/>
        <w:t>a) permite identificar o seu signatário;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b) anexa ou associa dados a outros dados em formato eletrônico do signatário;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assinatura eletrônica avançada - aquela que: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a) está associada ao signatário de maneira unívoca;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b) utiliza dados para a criação de assinatura eletrônica cujo signatário pode, com elevado nível de confiança, operar sob o seu controle exclusivo;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c) está relacionada aos dados a ela associados de tal modo que qualquer modificação posterior é detectável;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III - assinatura eletrônica qualificada - aquela que utiliza certificado digital, nos termos do disposto na </w:t>
      </w:r>
      <w:hyperlink r:id="rId5" w:tgtFrame="_blank" w:history="1">
        <w:r w:rsidRPr="002A72BE">
          <w:rPr>
            <w:rFonts w:ascii="Arial" w:eastAsia="Times New Roman" w:hAnsi="Arial" w:cs="Arial"/>
            <w:lang w:eastAsia="pt-BR"/>
          </w:rPr>
          <w:t>Medida Provisória nº 2.200-2, de 24 de agosto de 2001</w:t>
        </w:r>
      </w:hyperlink>
      <w:r w:rsidRPr="002A72BE">
        <w:rPr>
          <w:rFonts w:ascii="Arial" w:eastAsia="Times New Roman" w:hAnsi="Arial" w:cs="Arial"/>
          <w:lang w:eastAsia="pt-BR"/>
        </w:rPr>
        <w:t>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Aceitação de assinaturas eletrônicas pelos entes públicos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3º Ato do titular do Poder ou do órgão constitucionalmente autônomo de cada ente federativo estabelecerá o nível mínimo exigido para a assinatura eletrônica em documentos e transações em interação com o ente público.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1º O ato de que trata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caput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2A72BE">
        <w:rPr>
          <w:rFonts w:ascii="Arial" w:eastAsia="Times New Roman" w:hAnsi="Arial" w:cs="Arial"/>
          <w:lang w:eastAsia="pt-BR"/>
        </w:rPr>
        <w:t>observará o seguinte: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a assinatura eletrônica simples poderá ser admitida nas interações com ente público que não envolvam informações protegidas por grau de sigilo;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a assinatura eletrônica avançada poderá ser admitida: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a) nas hipóteses de que trata o inciso I;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b) nas interações com ente público que envolvam informações classificadas ou protegidas por grau de sigilo;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c) no registro de atos perante juntas comerciais;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III - a assinatura eletrônica qualificada será admitida em qualquer comunicação eletrônica com ente público.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2º É obrigatório o uso de assinatura eletrônica qualificada: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nos atos de transferência e de registro de bens imóveis, ressalvado o disposto na alínea "c" do inciso II do § 1º;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nos atos normativos assinados por chefes de Poder, por Ministros de Estado ou por titulares de Poder ou de órgão constitucionalmente autônomo de ente federativo;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III - nas demais hipóteses previstas em lei.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3º O ente público informará em seu sítio eletrônico os requisitos e os mecanismos estabelecidos internamente para reconhecimento de assinatura eletrônica avançada.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4º Ato do Poder Executivo federal disporá sobre o nível mínimo de assinatura eletrônica a ser observado na hipótese de ausência no ente federativo, no Poder ou no órgão constitucionalmente autônomo de norma específica.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5º Os entes federativos, os demais Poderes e os órgãos constitucionalmente autônomos encaminharão ao Ministério da Economia cópia das normas editadas sobre o nível mínimo exigido de assinatura eletrônica.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lastRenderedPageBreak/>
        <w:t>§ 6º Presumem-se juridicamente válidas as assinaturas eletrônicas efetuadas nos termos do disposto nos atos de que tratam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caput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2A72BE">
        <w:rPr>
          <w:rFonts w:ascii="Arial" w:eastAsia="Times New Roman" w:hAnsi="Arial" w:cs="Arial"/>
          <w:lang w:eastAsia="pt-BR"/>
        </w:rPr>
        <w:t>e o § 4º.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Atos realizados durante a pandemia</w:t>
      </w:r>
    </w:p>
    <w:p w:rsid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4º O ato de que trata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caput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2A72BE">
        <w:rPr>
          <w:rFonts w:ascii="Arial" w:eastAsia="Times New Roman" w:hAnsi="Arial" w:cs="Arial"/>
          <w:lang w:eastAsia="pt-BR"/>
        </w:rPr>
        <w:t>do art. 3º poderá prever nível de assinatura eletrônica incompatível com o previsto no § 1º do art. 3º para os atos realizados durante o período da emergência de saúde pública de importância internacional decorrente da pandemia da</w:t>
      </w:r>
      <w:r w:rsidRPr="002A72BE">
        <w:rPr>
          <w:rFonts w:ascii="Arial" w:eastAsia="Times New Roman" w:hAnsi="Arial" w:cs="Arial"/>
          <w:b/>
          <w:bCs/>
          <w:lang w:eastAsia="pt-BR"/>
        </w:rPr>
        <w:t>covid-19,</w:t>
      </w:r>
      <w:r w:rsidRPr="002A72BE">
        <w:rPr>
          <w:rFonts w:ascii="Arial" w:eastAsia="Times New Roman" w:hAnsi="Arial" w:cs="Arial"/>
          <w:lang w:eastAsia="pt-BR"/>
        </w:rPr>
        <w:t>de que trata a </w:t>
      </w:r>
      <w:hyperlink r:id="rId6" w:tgtFrame="_blank" w:history="1">
        <w:r w:rsidRPr="002A72BE">
          <w:rPr>
            <w:rFonts w:ascii="Arial" w:eastAsia="Times New Roman" w:hAnsi="Arial" w:cs="Arial"/>
            <w:lang w:eastAsia="pt-BR"/>
          </w:rPr>
          <w:t>Lei nº 13.979, de 6 de fevereiro de 2020</w:t>
        </w:r>
      </w:hyperlink>
      <w:r w:rsidRPr="002A72BE">
        <w:rPr>
          <w:rFonts w:ascii="Arial" w:eastAsia="Times New Roman" w:hAnsi="Arial" w:cs="Arial"/>
          <w:lang w:eastAsia="pt-BR"/>
        </w:rPr>
        <w:t>, com vistas a reduzir contatos presenciais ou para a realização de atos que ficariam impossibilitados por outro modo.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CAPITULO II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DA ATUAÇÃO DO INSTITUTO NACIONAL DE TECNOLOGIA DA INFORMAÇÃO - ITI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Atuação do ITI junto a entes públicos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5º Sem prejuízos das demais competências previstas em lei, o Instituto Nacional de Tecnologia da Informação - ITI poderá atuar em atividades dos órgãos e entidades da administração direta, autárquica e fundacional dos Poderes e órgãos constitucionalmente autônomos dos entes federativos relacionadas à criptografia, às assinaturas e identificações eletrônicas e às tecnologias correlatas, inclusive àquelas relativas às assinaturas eletrônicas simples e avançadas.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Parágrafo único. A atuação do ITI abrangerá: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a realização de pesquisas;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a execução de atividades operacionais;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III - a prestação de serviços no âmbito dos entes públicos de que trata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caput</w:t>
      </w:r>
      <w:r w:rsidRPr="002A72BE">
        <w:rPr>
          <w:rFonts w:ascii="Arial" w:eastAsia="Times New Roman" w:hAnsi="Arial" w:cs="Arial"/>
          <w:lang w:eastAsia="pt-BR"/>
        </w:rPr>
        <w:t>, ressalvadas as competências específicas de outros órgãos e entidades;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IV - o fornecimento de assinaturas eletrônicas avançadas a pessoas naturais e a pessoas jurídicas para uso nos sistemas de entes públicos de que trata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caput</w:t>
      </w:r>
      <w:r w:rsidRPr="002A72BE">
        <w:rPr>
          <w:rFonts w:ascii="Arial" w:eastAsia="Times New Roman" w:hAnsi="Arial" w:cs="Arial"/>
          <w:lang w:eastAsia="pt-BR"/>
        </w:rPr>
        <w:t>; e</w:t>
      </w:r>
    </w:p>
    <w:p w:rsid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V - a edição de normas em seu âmbito de atuação.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CAPÍTULO III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DA ASSINATURA ELETRÔNICA EM QUESTÃO DE SAÚDE PÚBLICA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Documentos subscritos por profissionais de saúde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6º Os documentos subscritos por profissionais de saúde e relacionados a sua área de atuação são válidos para todos os fins quando assinados com: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assinatura eletrônica avançada; ou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assinatura eletrônica qualificada.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Parágrafo único. Ato do Ministro de Estado da Saúde ou da Diretoria Colegiada da Agência Nacional de Vigilância Sanitária - Anvisa, no âmbito de suas competências, especificará as hipóteses e os critérios para a validação dos documentos de que trata 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caput</w:t>
      </w:r>
      <w:r w:rsidRPr="002A72BE">
        <w:rPr>
          <w:rFonts w:ascii="Arial" w:eastAsia="Times New Roman" w:hAnsi="Arial" w:cs="Arial"/>
          <w:lang w:eastAsia="pt-BR"/>
        </w:rPr>
        <w:t>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lastRenderedPageBreak/>
        <w:t>Receitas médicas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7º A </w:t>
      </w:r>
      <w:hyperlink r:id="rId7" w:tgtFrame="_blank" w:history="1">
        <w:r w:rsidRPr="002A72BE">
          <w:rPr>
            <w:rFonts w:ascii="Arial" w:eastAsia="Times New Roman" w:hAnsi="Arial" w:cs="Arial"/>
            <w:lang w:eastAsia="pt-BR"/>
          </w:rPr>
          <w:t>Lei nº 5.991, de 17 de dezembro de 1973</w:t>
        </w:r>
      </w:hyperlink>
      <w:r w:rsidRPr="002A72BE">
        <w:rPr>
          <w:rFonts w:ascii="Arial" w:eastAsia="Times New Roman" w:hAnsi="Arial" w:cs="Arial"/>
          <w:lang w:eastAsia="pt-BR"/>
        </w:rPr>
        <w:t>, passa vigorar com as seguintes alterações: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"Art. 35. ..................................................................................................................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que seja escrita no vernáculo, redigida sem abreviações e de forma legível, e que observe a nomenclatura e o sistema de pesos e medidas oficiais;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que contenha o nome e o endereço residencial do paciente e, expressamente, o modo de usar a medicação;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III - que contenha a data e a assinatura do profissional de saúde, o endereço do seu consultório ou da sua residência e o seu número de inscrição no conselho profissional.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1º O receituário de medicamentos terá validade em todo o território nacional, independentemente do ente federativo em que tenha sido emitido, inclusive o de medicamentos sujeitos ao controle sanitário especial, nos termos da regulação.</w:t>
      </w:r>
    </w:p>
    <w:p w:rsid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2º As receitas em meio eletrônico somente serão válidas se contiverem a assinatura eletrônica do profissional e se atenderem aos requisitos de ato da Diretoria Colegiada da Agência Nacional de Vigilância Sanitária ou do Ministro de Estado da Saúde, conforme as respectivas competências." (NR)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CAPÍTULO IV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DOS SISTEMAS DE INFORMAÇÃO E DE COMUNICAÇÃO DOS ENTES PÚBLICOS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Licenciamento dos sistemas de informação e de comunicação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8º Os sistemas de informação e de comunicação desenvolvidos ou cujo desenvolvimento seja contratado por órgãos e entidades da administração direta, autárquica e fundacional dos Poderes e órgãos constitucionalmente autônomos dos entes federativos são regidos por licença de código-aberto, permitida a sua utilização, cópia, alteração e distribuição sem restrições por todos os órgãos e entidades abrangidos por este artigo.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1º O disposto no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caput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2A72BE">
        <w:rPr>
          <w:rFonts w:ascii="Arial" w:eastAsia="Times New Roman" w:hAnsi="Arial" w:cs="Arial"/>
          <w:lang w:eastAsia="pt-BR"/>
        </w:rPr>
        <w:t>aplica-se, inclusive, aos sistemas de informação e de comunicação em operação na data de entrada em vigor desta Medida Provisória.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§ 2º Não estão sujeitos ao disposto neste artigo: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os sistemas de informação e de comunicação cujo código fonte possua restrição de acesso à informação, nos termos do disposto no</w:t>
      </w:r>
      <w:hyperlink r:id="rId8" w:tgtFrame="_blank" w:history="1">
        <w:r w:rsidRPr="002A72BE">
          <w:rPr>
            <w:rFonts w:ascii="Arial" w:eastAsia="Times New Roman" w:hAnsi="Arial" w:cs="Arial"/>
            <w:lang w:eastAsia="pt-BR"/>
          </w:rPr>
          <w:t> Capítulo IV da Lei nº 12.527, de 18 de novembro de 2011</w:t>
        </w:r>
      </w:hyperlink>
      <w:r w:rsidRPr="002A72BE">
        <w:rPr>
          <w:rFonts w:ascii="Arial" w:eastAsia="Times New Roman" w:hAnsi="Arial" w:cs="Arial"/>
          <w:lang w:eastAsia="pt-BR"/>
        </w:rPr>
        <w:t>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os dados armazenados pelos sistemas de informação e de comunicação;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III - os componentes de propriedade de terceiros; e</w:t>
      </w:r>
    </w:p>
    <w:p w:rsid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IV - os contratos de desenvolvimento de sistemas de informação e de comunicação que tenham sido firmados com terceiros antes da data de entrada em vigor desta Medida Provisória e que contenham cláusula de propriedade intelectual divergente do disposto no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2A72BE">
        <w:rPr>
          <w:rFonts w:ascii="Arial" w:eastAsia="Times New Roman" w:hAnsi="Arial" w:cs="Arial"/>
          <w:b/>
          <w:bCs/>
          <w:lang w:eastAsia="pt-BR"/>
        </w:rPr>
        <w:t>caput</w:t>
      </w:r>
      <w:r w:rsidRPr="002A72BE">
        <w:rPr>
          <w:rFonts w:ascii="Arial" w:eastAsia="Times New Roman" w:hAnsi="Arial" w:cs="Arial"/>
          <w:lang w:eastAsia="pt-BR"/>
        </w:rPr>
        <w:t>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CAPÍTULO V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DISPOSIÇÕES FINAIS E TRANSITÓRIAS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Não obrigatoriedade de uso de sistema eletrônico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9º O disposto nesta Medida Provisória não estabelece obrigação aos órgãos e entidades da administração direta, autárquica e fundacional dos Poderes e órgãos constitucionalmente autônomos dos entes federativos de disponibilizarem mecanismos de comunicação eletrônica em todas as hipóteses de interação com pessoas naturais ou jurídicas.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Adaptação de sistemas em uso pelo ente público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10. Os sistemas em uso na data de entrada em vigor desta Medida Provisória que utilizem assinaturas eletrônicas que não atendam o disposto no § 1º do art. 3º serão adaptados até 1º de dezembro de 2020.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Revogações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11. Ficam revogados os seguintes dispositivos do</w:t>
      </w:r>
      <w:hyperlink r:id="rId9" w:tgtFrame="_blank" w:history="1">
        <w:r w:rsidRPr="002A72BE">
          <w:rPr>
            <w:rFonts w:ascii="Arial" w:eastAsia="Times New Roman" w:hAnsi="Arial" w:cs="Arial"/>
            <w:lang w:eastAsia="pt-BR"/>
          </w:rPr>
          <w:t> art. 35 da Lei nº 5.991, de 1973</w:t>
        </w:r>
      </w:hyperlink>
      <w:r w:rsidRPr="002A72BE">
        <w:rPr>
          <w:rFonts w:ascii="Arial" w:eastAsia="Times New Roman" w:hAnsi="Arial" w:cs="Arial"/>
          <w:lang w:eastAsia="pt-BR"/>
        </w:rPr>
        <w:t>: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 - as </w:t>
      </w:r>
      <w:hyperlink r:id="rId10" w:tgtFrame="_blank" w:history="1">
        <w:r w:rsidRPr="002A72BE">
          <w:rPr>
            <w:rFonts w:ascii="Arial" w:eastAsia="Times New Roman" w:hAnsi="Arial" w:cs="Arial"/>
            <w:lang w:eastAsia="pt-BR"/>
          </w:rPr>
          <w:t>alíneas "a", "b" e "c" do</w:t>
        </w:r>
        <w:r>
          <w:rPr>
            <w:rFonts w:ascii="Arial" w:eastAsia="Times New Roman" w:hAnsi="Arial" w:cs="Arial"/>
            <w:lang w:eastAsia="pt-BR"/>
          </w:rPr>
          <w:t xml:space="preserve"> </w:t>
        </w:r>
        <w:r w:rsidRPr="002A72BE">
          <w:rPr>
            <w:rFonts w:ascii="Arial" w:eastAsia="Times New Roman" w:hAnsi="Arial" w:cs="Arial"/>
            <w:b/>
            <w:bCs/>
            <w:lang w:eastAsia="pt-BR"/>
          </w:rPr>
          <w:t>caput</w:t>
        </w:r>
      </w:hyperlink>
      <w:r w:rsidRPr="002A72BE">
        <w:rPr>
          <w:rFonts w:ascii="Arial" w:eastAsia="Times New Roman" w:hAnsi="Arial" w:cs="Arial"/>
          <w:lang w:eastAsia="pt-BR"/>
        </w:rPr>
        <w:t>; e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II - o </w:t>
      </w:r>
      <w:hyperlink r:id="rId11" w:tgtFrame="_blank" w:history="1">
        <w:r w:rsidRPr="002A72BE">
          <w:rPr>
            <w:rFonts w:ascii="Arial" w:eastAsia="Times New Roman" w:hAnsi="Arial" w:cs="Arial"/>
            <w:lang w:eastAsia="pt-BR"/>
          </w:rPr>
          <w:t>parágrafo único</w:t>
        </w:r>
      </w:hyperlink>
      <w:r w:rsidRPr="002A72BE">
        <w:rPr>
          <w:rFonts w:ascii="Arial" w:eastAsia="Times New Roman" w:hAnsi="Arial" w:cs="Arial"/>
          <w:lang w:eastAsia="pt-BR"/>
        </w:rPr>
        <w:t>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b/>
          <w:bCs/>
          <w:lang w:eastAsia="pt-BR"/>
        </w:rPr>
        <w:t>Vigência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Art. 12. Esta Medida Provisória entra em vigor na data de sua publicação.</w:t>
      </w:r>
    </w:p>
    <w:p w:rsidR="002A72BE" w:rsidRPr="002A72BE" w:rsidRDefault="002A72BE" w:rsidP="002A72BE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lang w:eastAsia="pt-BR"/>
        </w:rPr>
      </w:pPr>
      <w:r w:rsidRPr="002A72BE">
        <w:rPr>
          <w:rFonts w:ascii="Arial" w:eastAsia="Times New Roman" w:hAnsi="Arial" w:cs="Arial"/>
          <w:lang w:eastAsia="pt-BR"/>
        </w:rPr>
        <w:t>Brasília, 16 de junho de 2020; 199º da Independência e 132º da República.</w:t>
      </w:r>
    </w:p>
    <w:p w:rsidR="002A72BE" w:rsidRPr="002A72BE" w:rsidRDefault="002A72BE" w:rsidP="002A72BE">
      <w:pPr>
        <w:shd w:val="clear" w:color="auto" w:fill="FFFFFF"/>
        <w:spacing w:before="300" w:line="240" w:lineRule="auto"/>
        <w:ind w:left="1134" w:firstLine="0"/>
        <w:rPr>
          <w:rFonts w:ascii="Arial" w:eastAsia="Times New Roman" w:hAnsi="Arial" w:cs="Arial"/>
          <w:b/>
          <w:bCs/>
          <w:caps/>
          <w:lang w:eastAsia="pt-BR"/>
        </w:rPr>
      </w:pPr>
      <w:r w:rsidRPr="002A72BE">
        <w:rPr>
          <w:rFonts w:ascii="Arial" w:eastAsia="Times New Roman" w:hAnsi="Arial" w:cs="Arial"/>
          <w:b/>
          <w:bCs/>
          <w:caps/>
          <w:lang w:eastAsia="pt-BR"/>
        </w:rPr>
        <w:t>JAIR MESSIAS BOLSONARO</w:t>
      </w:r>
    </w:p>
    <w:p w:rsidR="002A72BE" w:rsidRPr="002A72BE" w:rsidRDefault="002A72BE" w:rsidP="002A72BE">
      <w:pPr>
        <w:shd w:val="clear" w:color="auto" w:fill="FFFFFF"/>
        <w:spacing w:line="240" w:lineRule="auto"/>
        <w:ind w:left="1134" w:firstLine="0"/>
        <w:rPr>
          <w:rFonts w:ascii="Arial" w:eastAsia="Times New Roman" w:hAnsi="Arial" w:cs="Arial"/>
          <w:i/>
          <w:iCs/>
          <w:lang w:eastAsia="pt-BR"/>
        </w:rPr>
      </w:pPr>
      <w:r w:rsidRPr="002A72BE">
        <w:rPr>
          <w:rFonts w:ascii="Arial" w:eastAsia="Times New Roman" w:hAnsi="Arial" w:cs="Arial"/>
          <w:i/>
          <w:iCs/>
          <w:lang w:eastAsia="pt-BR"/>
        </w:rPr>
        <w:t>Paulo Guedes</w:t>
      </w:r>
    </w:p>
    <w:p w:rsidR="002A72BE" w:rsidRPr="002A72BE" w:rsidRDefault="002A72BE" w:rsidP="002A72BE">
      <w:pPr>
        <w:shd w:val="clear" w:color="auto" w:fill="FFFFFF"/>
        <w:spacing w:line="240" w:lineRule="auto"/>
        <w:ind w:left="6975" w:hanging="5841"/>
        <w:rPr>
          <w:rFonts w:ascii="Arial" w:eastAsia="Times New Roman" w:hAnsi="Arial" w:cs="Arial"/>
          <w:i/>
          <w:iCs/>
          <w:lang w:eastAsia="pt-BR"/>
        </w:rPr>
      </w:pPr>
      <w:r w:rsidRPr="002A72BE">
        <w:rPr>
          <w:rFonts w:ascii="Arial" w:eastAsia="Times New Roman" w:hAnsi="Arial" w:cs="Arial"/>
          <w:i/>
          <w:iCs/>
          <w:lang w:eastAsia="pt-BR"/>
        </w:rPr>
        <w:t xml:space="preserve">Eduardo </w:t>
      </w:r>
      <w:proofErr w:type="spellStart"/>
      <w:r w:rsidRPr="002A72BE">
        <w:rPr>
          <w:rFonts w:ascii="Arial" w:eastAsia="Times New Roman" w:hAnsi="Arial" w:cs="Arial"/>
          <w:i/>
          <w:iCs/>
          <w:lang w:eastAsia="pt-BR"/>
        </w:rPr>
        <w:t>Pazuello</w:t>
      </w:r>
      <w:proofErr w:type="spellEnd"/>
    </w:p>
    <w:p w:rsidR="002A72BE" w:rsidRPr="002A72BE" w:rsidRDefault="002A72BE" w:rsidP="002A72BE">
      <w:pPr>
        <w:shd w:val="clear" w:color="auto" w:fill="FFFFFF"/>
        <w:spacing w:line="240" w:lineRule="auto"/>
        <w:ind w:left="1134" w:firstLine="0"/>
        <w:rPr>
          <w:rFonts w:ascii="Arial" w:eastAsia="Times New Roman" w:hAnsi="Arial" w:cs="Arial"/>
          <w:i/>
          <w:iCs/>
          <w:lang w:eastAsia="pt-BR"/>
        </w:rPr>
      </w:pPr>
      <w:r w:rsidRPr="002A72BE">
        <w:rPr>
          <w:rFonts w:ascii="Arial" w:eastAsia="Times New Roman" w:hAnsi="Arial" w:cs="Arial"/>
          <w:i/>
          <w:iCs/>
          <w:lang w:eastAsia="pt-BR"/>
        </w:rPr>
        <w:t>Walter Souza Braga Netto</w:t>
      </w:r>
    </w:p>
    <w:p w:rsidR="00ED66BB" w:rsidRDefault="00ED66BB" w:rsidP="00ED66BB">
      <w:pPr>
        <w:ind w:firstLine="0"/>
        <w:rPr>
          <w:rFonts w:ascii="Arial" w:hAnsi="Arial" w:cs="Arial"/>
        </w:rPr>
      </w:pPr>
    </w:p>
    <w:p w:rsidR="00FC2AB7" w:rsidRDefault="00FC2AB7" w:rsidP="00ED66BB">
      <w:pPr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Este texto não substitui a versão publicada no DOU –</w:t>
      </w:r>
      <w:r w:rsidR="002A72BE">
        <w:rPr>
          <w:rFonts w:ascii="Arial" w:hAnsi="Arial" w:cs="Arial"/>
          <w:color w:val="FF0000"/>
        </w:rPr>
        <w:t xml:space="preserve"> Seção, de 17</w:t>
      </w:r>
      <w:r w:rsidR="00AA1BEF">
        <w:rPr>
          <w:rFonts w:ascii="Arial" w:hAnsi="Arial" w:cs="Arial"/>
          <w:color w:val="FF0000"/>
        </w:rPr>
        <w:t>.06</w:t>
      </w:r>
      <w:r>
        <w:rPr>
          <w:rFonts w:ascii="Arial" w:hAnsi="Arial" w:cs="Arial"/>
          <w:color w:val="FF0000"/>
        </w:rPr>
        <w:t>.2020.</w:t>
      </w:r>
    </w:p>
    <w:p w:rsidR="00FC2AB7" w:rsidRDefault="00FC2AB7" w:rsidP="00FC2AB7">
      <w:pPr>
        <w:ind w:firstLine="0"/>
        <w:rPr>
          <w:rFonts w:ascii="Arial" w:hAnsi="Arial" w:cs="Arial"/>
          <w:color w:val="FF0000"/>
        </w:rPr>
      </w:pPr>
      <w:bookmarkStart w:id="0" w:name="_GoBack"/>
      <w:bookmarkEnd w:id="0"/>
    </w:p>
    <w:p w:rsidR="00FC2AB7" w:rsidRDefault="00FC2AB7" w:rsidP="00FC2AB7">
      <w:pPr>
        <w:tabs>
          <w:tab w:val="left" w:pos="3125"/>
        </w:tabs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</w:t>
      </w:r>
    </w:p>
    <w:p w:rsidR="00FC2AB7" w:rsidRPr="00FC2AB7" w:rsidRDefault="00FC2AB7" w:rsidP="00FC2AB7">
      <w:pPr>
        <w:pStyle w:val="assina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162937"/>
          <w:sz w:val="22"/>
          <w:szCs w:val="22"/>
        </w:rPr>
      </w:pPr>
    </w:p>
    <w:p w:rsidR="00E759CB" w:rsidRDefault="00E759CB" w:rsidP="00FC2AB7">
      <w:pPr>
        <w:tabs>
          <w:tab w:val="left" w:pos="1134"/>
        </w:tabs>
        <w:ind w:hanging="6124"/>
      </w:pPr>
    </w:p>
    <w:p w:rsidR="00FC2AB7" w:rsidRDefault="00FC2AB7" w:rsidP="00FC2AB7">
      <w:pPr>
        <w:tabs>
          <w:tab w:val="left" w:pos="1134"/>
        </w:tabs>
        <w:ind w:hanging="6124"/>
      </w:pPr>
    </w:p>
    <w:p w:rsidR="00FC2AB7" w:rsidRDefault="00FC2AB7" w:rsidP="00FC2AB7">
      <w:pPr>
        <w:tabs>
          <w:tab w:val="left" w:pos="1134"/>
        </w:tabs>
        <w:ind w:hanging="6124"/>
      </w:pPr>
    </w:p>
    <w:sectPr w:rsidR="00FC2AB7" w:rsidSect="00ED66BB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B7"/>
    <w:rsid w:val="000F2C74"/>
    <w:rsid w:val="00102831"/>
    <w:rsid w:val="001D3620"/>
    <w:rsid w:val="002A72BE"/>
    <w:rsid w:val="004970E1"/>
    <w:rsid w:val="004A1DA5"/>
    <w:rsid w:val="006407DC"/>
    <w:rsid w:val="006F1CE0"/>
    <w:rsid w:val="00845754"/>
    <w:rsid w:val="008D2B91"/>
    <w:rsid w:val="00912739"/>
    <w:rsid w:val="00985F2B"/>
    <w:rsid w:val="00AA1BEF"/>
    <w:rsid w:val="00C566A8"/>
    <w:rsid w:val="00C80953"/>
    <w:rsid w:val="00D0571B"/>
    <w:rsid w:val="00DD3A4D"/>
    <w:rsid w:val="00E759CB"/>
    <w:rsid w:val="00ED66BB"/>
    <w:rsid w:val="00FC2AB7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A2FD-6E0A-413D-9E62-6CD7DA25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2AB7"/>
    <w:rPr>
      <w:b/>
      <w:bCs/>
    </w:rPr>
  </w:style>
  <w:style w:type="paragraph" w:customStyle="1" w:styleId="assinapr">
    <w:name w:val="assinapr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C2A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2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599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20/lei/L13979compilado.htm" TargetMode="External"/><Relationship Id="rId11" Type="http://schemas.openxmlformats.org/officeDocument/2006/relationships/hyperlink" Target="http://www.planalto.gov.br/ccivil_03/leis/l5991.htm" TargetMode="External"/><Relationship Id="rId5" Type="http://schemas.openxmlformats.org/officeDocument/2006/relationships/hyperlink" Target="http://www.planalto.gov.br/ccivil_03/MPV/Antigas_2001/2200-2.htm" TargetMode="External"/><Relationship Id="rId10" Type="http://schemas.openxmlformats.org/officeDocument/2006/relationships/hyperlink" Target="http://www.planalto.gov.br/ccivil_03/leis/l5991.htm" TargetMode="External"/><Relationship Id="rId4" Type="http://schemas.openxmlformats.org/officeDocument/2006/relationships/hyperlink" Target="http://www.planalto.gov.br/ccivil_03/constituicao/constituicaocompilado.htm" TargetMode="External"/><Relationship Id="rId9" Type="http://schemas.openxmlformats.org/officeDocument/2006/relationships/hyperlink" Target="http://www.planalto.gov.br/ccivil_03/leis/l599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Ivania Amorim</cp:lastModifiedBy>
  <cp:revision>2</cp:revision>
  <dcterms:created xsi:type="dcterms:W3CDTF">2020-06-17T13:30:00Z</dcterms:created>
  <dcterms:modified xsi:type="dcterms:W3CDTF">2020-06-17T13:30:00Z</dcterms:modified>
</cp:coreProperties>
</file>