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94A" w:rsidRPr="00013372" w:rsidRDefault="0034794A" w:rsidP="0034794A">
      <w:pPr>
        <w:pStyle w:val="identifica"/>
        <w:shd w:val="clear" w:color="auto" w:fill="FFFFFF"/>
        <w:spacing w:before="450" w:beforeAutospacing="0" w:after="450" w:afterAutospacing="0"/>
        <w:jc w:val="center"/>
        <w:rPr>
          <w:rFonts w:ascii="Arial" w:hAnsi="Arial" w:cs="Arial"/>
          <w:b/>
          <w:bCs/>
          <w:caps/>
          <w:color w:val="162937"/>
          <w:sz w:val="22"/>
          <w:szCs w:val="22"/>
        </w:rPr>
      </w:pPr>
      <w:r w:rsidRPr="00013372">
        <w:rPr>
          <w:rFonts w:ascii="Arial" w:hAnsi="Arial" w:cs="Arial"/>
          <w:b/>
          <w:bCs/>
          <w:caps/>
          <w:color w:val="162937"/>
          <w:sz w:val="22"/>
          <w:szCs w:val="22"/>
        </w:rPr>
        <w:t>MEDIDA PROVISÓRIA Nº 992, DE 16 DE JULHO DE 2020</w:t>
      </w:r>
    </w:p>
    <w:p w:rsidR="0034794A" w:rsidRPr="00013372" w:rsidRDefault="0034794A" w:rsidP="00782984">
      <w:pPr>
        <w:pStyle w:val="ementa"/>
        <w:shd w:val="clear" w:color="auto" w:fill="FFFFFF"/>
        <w:spacing w:before="0" w:beforeAutospacing="0" w:after="450" w:afterAutospacing="0"/>
        <w:ind w:left="2124" w:firstLine="708"/>
        <w:jc w:val="both"/>
        <w:rPr>
          <w:rFonts w:ascii="Arial" w:hAnsi="Arial" w:cs="Arial"/>
          <w:color w:val="162937"/>
          <w:sz w:val="22"/>
          <w:szCs w:val="22"/>
        </w:rPr>
      </w:pPr>
      <w:bookmarkStart w:id="0" w:name="_GoBack"/>
      <w:bookmarkEnd w:id="0"/>
      <w:r w:rsidRPr="00013372">
        <w:rPr>
          <w:rFonts w:ascii="Arial" w:hAnsi="Arial" w:cs="Arial"/>
          <w:color w:val="162937"/>
          <w:sz w:val="22"/>
          <w:szCs w:val="22"/>
        </w:rPr>
        <w:t>Dispõe sobre o financiamento a microempresa e empresa de pequeno e médio porte, sobre o crédito presumido apurado com base em créditos decorrentes de diferenças temporárias, sobre o compartilhamento de alienação fiduciária e sobre a dispensa do cumprimento de exigências de demonstração de regularidade fiscal nas operações praticadas pelo Banco Central do Brasil em decorrência do disposto no art. 7º da Emenda Constitucional nº 106, de 7 de maio de 2020, e altera a Lei nº 13.476, de 28 de agosto de 2017, a Lei nº 13.097, de 19 de janeiro de 2015, e a Lei nº 6.015, de 31 de dezembro de 1973.</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Style w:val="Forte"/>
          <w:rFonts w:ascii="Arial" w:hAnsi="Arial" w:cs="Arial"/>
          <w:color w:val="162937"/>
          <w:sz w:val="22"/>
          <w:szCs w:val="22"/>
        </w:rPr>
        <w:t>O PRESIDENTE DA REPÚBLICA</w:t>
      </w:r>
      <w:r w:rsidRPr="00013372">
        <w:rPr>
          <w:rFonts w:ascii="Arial" w:hAnsi="Arial" w:cs="Arial"/>
          <w:color w:val="162937"/>
          <w:sz w:val="22"/>
          <w:szCs w:val="22"/>
        </w:rPr>
        <w:t>, no uso da atribuição que lhe confere o art. 62 da Constituição, adota a seguinte Medida Provisória, com força de lei:</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Art. 1º Esta Medida Provisória dispõe sobre:</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I - a concessão de crédito a microempresas e empresas de pequeno e de médio porte no âmbito do Programa de Capital de Giro para Preservação de Empresas - CGPE;</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II - o crédito presumido apurado com base em créditos decorrentes de diferenças temporárias pelas instituições financeiras e pelas demais instituições autorizadas a funcionar pelo Banco Central do Brasil, exceto as cooperativas de crédito e as administradoras de consórcio;</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III - o compartilhamento de alienação fiduciária; e</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IV - a dispensa do cumprimento de exigências de demonstração de regularidade fiscal nas operações praticadas pelo Banco Central do Brasil em decorrência do disposto no art. 7º da Emenda Constitucional nº 106, de 7 de maio de 2020.</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Art. 2º Fica instituído o CGPE, Programa destinado à realização, pelas instituições financeiras e pelas demais instituições autorizadas a funcionar pelo Banco Central do Brasil, exceto cooperativas de crédito e administradoras de consórcio, de operações de crédito com empresas com receita bruta anual, apurada no ano-calendário de 2019, de até R$ 300.000.000,00 (trezentos milhões de reais) ou valor proporcional ao número de meses de funcionamento no ano de 2019.</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 1º As instituições que participarem do CGPE poderão adotar a forma de apuração do crédito presumido de que tratam os art. 3º, art. 4º e art. 5º.</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 2º As operações de crédito que trata o</w:t>
      </w:r>
      <w:r w:rsidR="00013372">
        <w:rPr>
          <w:rFonts w:ascii="Arial" w:hAnsi="Arial" w:cs="Arial"/>
          <w:color w:val="162937"/>
          <w:sz w:val="22"/>
          <w:szCs w:val="22"/>
        </w:rPr>
        <w:t xml:space="preserve"> </w:t>
      </w:r>
      <w:r w:rsidRPr="00013372">
        <w:rPr>
          <w:rStyle w:val="Forte"/>
          <w:rFonts w:ascii="Arial" w:hAnsi="Arial" w:cs="Arial"/>
          <w:color w:val="162937"/>
          <w:sz w:val="22"/>
          <w:szCs w:val="22"/>
        </w:rPr>
        <w:t>caput</w:t>
      </w:r>
      <w:r w:rsidR="00013372">
        <w:rPr>
          <w:rStyle w:val="Forte"/>
          <w:rFonts w:ascii="Arial" w:hAnsi="Arial" w:cs="Arial"/>
          <w:color w:val="162937"/>
          <w:sz w:val="22"/>
          <w:szCs w:val="22"/>
        </w:rPr>
        <w:t xml:space="preserve"> </w:t>
      </w:r>
      <w:r w:rsidRPr="00013372">
        <w:rPr>
          <w:rFonts w:ascii="Arial" w:hAnsi="Arial" w:cs="Arial"/>
          <w:color w:val="162937"/>
          <w:sz w:val="22"/>
          <w:szCs w:val="22"/>
        </w:rPr>
        <w:t>deverão ser contratadas no período compreendido entre a data de entrada em vigor desta Medida Provisória e 31 de dezembro de 2020.</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 3º Fica o Conselho Monetário Nacional autorizado a definir:</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I - as condições, os prazos, as regras para concessão e as características das operações de que trata o</w:t>
      </w:r>
      <w:r w:rsidR="00013372">
        <w:rPr>
          <w:rFonts w:ascii="Arial" w:hAnsi="Arial" w:cs="Arial"/>
          <w:color w:val="162937"/>
          <w:sz w:val="22"/>
          <w:szCs w:val="22"/>
        </w:rPr>
        <w:t xml:space="preserve"> </w:t>
      </w:r>
      <w:r w:rsidRPr="00013372">
        <w:rPr>
          <w:rStyle w:val="Forte"/>
          <w:rFonts w:ascii="Arial" w:hAnsi="Arial" w:cs="Arial"/>
          <w:color w:val="162937"/>
          <w:sz w:val="22"/>
          <w:szCs w:val="22"/>
        </w:rPr>
        <w:t>caput</w:t>
      </w:r>
      <w:r w:rsidRPr="00013372">
        <w:rPr>
          <w:rFonts w:ascii="Arial" w:hAnsi="Arial" w:cs="Arial"/>
          <w:color w:val="162937"/>
          <w:sz w:val="22"/>
          <w:szCs w:val="22"/>
        </w:rPr>
        <w:t>; e</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II - a distribuição dos créditos concedidos por segmentos ou áreas de atuação e faixas de porte das empresas de que trata o</w:t>
      </w:r>
      <w:r w:rsidR="00013372">
        <w:rPr>
          <w:rFonts w:ascii="Arial" w:hAnsi="Arial" w:cs="Arial"/>
          <w:color w:val="162937"/>
          <w:sz w:val="22"/>
          <w:szCs w:val="22"/>
        </w:rPr>
        <w:t xml:space="preserve"> </w:t>
      </w:r>
      <w:r w:rsidRPr="00013372">
        <w:rPr>
          <w:rStyle w:val="Forte"/>
          <w:rFonts w:ascii="Arial" w:hAnsi="Arial" w:cs="Arial"/>
          <w:color w:val="162937"/>
          <w:sz w:val="22"/>
          <w:szCs w:val="22"/>
        </w:rPr>
        <w:t>caput</w:t>
      </w:r>
      <w:r w:rsidRPr="00013372">
        <w:rPr>
          <w:rFonts w:ascii="Arial" w:hAnsi="Arial" w:cs="Arial"/>
          <w:color w:val="162937"/>
          <w:sz w:val="22"/>
          <w:szCs w:val="22"/>
        </w:rPr>
        <w:t>.</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lastRenderedPageBreak/>
        <w:t>§ 4º Para fins de enquadramento no CGPE, o Conselho Monetário Nacional poderá autorizar a utilização de até trinta por cento do valor a que se refere o inciso I do</w:t>
      </w:r>
      <w:r w:rsidR="00013372">
        <w:rPr>
          <w:rFonts w:ascii="Arial" w:hAnsi="Arial" w:cs="Arial"/>
          <w:color w:val="162937"/>
          <w:sz w:val="22"/>
          <w:szCs w:val="22"/>
        </w:rPr>
        <w:t xml:space="preserve"> </w:t>
      </w:r>
      <w:r w:rsidRPr="00013372">
        <w:rPr>
          <w:rStyle w:val="Forte"/>
          <w:rFonts w:ascii="Arial" w:hAnsi="Arial" w:cs="Arial"/>
          <w:color w:val="162937"/>
          <w:sz w:val="22"/>
          <w:szCs w:val="22"/>
        </w:rPr>
        <w:t>caput</w:t>
      </w:r>
      <w:r w:rsidR="00013372">
        <w:rPr>
          <w:rStyle w:val="Forte"/>
          <w:rFonts w:ascii="Arial" w:hAnsi="Arial" w:cs="Arial"/>
          <w:color w:val="162937"/>
          <w:sz w:val="22"/>
          <w:szCs w:val="22"/>
        </w:rPr>
        <w:t xml:space="preserve"> </w:t>
      </w:r>
      <w:r w:rsidRPr="00013372">
        <w:rPr>
          <w:rFonts w:ascii="Arial" w:hAnsi="Arial" w:cs="Arial"/>
          <w:color w:val="162937"/>
          <w:sz w:val="22"/>
          <w:szCs w:val="22"/>
        </w:rPr>
        <w:t>do art. 3º em operações contratadas ao amparo:</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I - do Programa Nacional de Apoio às Microempresas e Empresas de Pequeno Porte -</w:t>
      </w:r>
      <w:proofErr w:type="spellStart"/>
      <w:r w:rsidRPr="00013372">
        <w:rPr>
          <w:rFonts w:ascii="Arial" w:hAnsi="Arial" w:cs="Arial"/>
          <w:color w:val="162937"/>
          <w:sz w:val="22"/>
          <w:szCs w:val="22"/>
        </w:rPr>
        <w:t>Pronampe</w:t>
      </w:r>
      <w:proofErr w:type="spellEnd"/>
      <w:r w:rsidRPr="00013372">
        <w:rPr>
          <w:rFonts w:ascii="Arial" w:hAnsi="Arial" w:cs="Arial"/>
          <w:color w:val="162937"/>
          <w:sz w:val="22"/>
          <w:szCs w:val="22"/>
        </w:rPr>
        <w:t>, instituído pela Lei nº 13.999, de 18 de maio de 2020;</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II - do Programa Emergencial de Suporte a Empregos, instituído pela Medida Provisória nº 944, de 3 de abril de 2020;</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III - do Programa Emergencial de Acesso a Crédito, instituído pela Medida Provisória nº 975, de 1º de junho de 2020; e</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IV - de outros programas que venham a ser instituídos com o propósito de enfrentamento dos efeitos na economia decorrentes da pandemia da</w:t>
      </w:r>
      <w:r w:rsidR="00013372">
        <w:rPr>
          <w:rFonts w:ascii="Arial" w:hAnsi="Arial" w:cs="Arial"/>
          <w:color w:val="162937"/>
          <w:sz w:val="22"/>
          <w:szCs w:val="22"/>
        </w:rPr>
        <w:t xml:space="preserve"> </w:t>
      </w:r>
      <w:r w:rsidRPr="00013372">
        <w:rPr>
          <w:rStyle w:val="Forte"/>
          <w:rFonts w:ascii="Arial" w:hAnsi="Arial" w:cs="Arial"/>
          <w:color w:val="162937"/>
          <w:sz w:val="22"/>
          <w:szCs w:val="22"/>
        </w:rPr>
        <w:t>covid-19</w:t>
      </w:r>
      <w:r w:rsidRPr="00013372">
        <w:rPr>
          <w:rFonts w:ascii="Arial" w:hAnsi="Arial" w:cs="Arial"/>
          <w:color w:val="162937"/>
          <w:sz w:val="22"/>
          <w:szCs w:val="22"/>
        </w:rPr>
        <w:t>, nos quais haja compartilhamento de recursos ou de riscos entre a União e as instituições participantes.</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 5º Na composição do CGPE, não são elegíveis as operações de crédito concedidas a pessoa jurídica que seja controladora, controlada, coligada ou interligada da instituição credora.</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 6º Observado o disposto no § 4º, as operações realizadas no âmbito do CGPE:</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I - não contarão com qualquer garantia da União ou de entidade pública e o risco de crédito será integralmente da instituição participante;</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II - serão carregadas em sua totalidade com recursos captados pelas próprias instituições participantes;</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III - não terão qualquer tipo de previsão de aporte de recursos públicos; e</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IV - não terão qualquer equalização de taxa de juros por parte da União.</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Art. 3º Até 31 de dezembro de 2025, as instituições financeiras e as demais instituições autorizadas a funcionar pelo Banco Central do Brasil, exceto as cooperativas de crédito e as administradoras de consórcio, que aderirem ao CGPE, poderão apurar crédito presumido:</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I - em montante igual ao valor desembolsado de operações de crédito concedidas no âmbito do CGPE, de que trata o art. 2º; e</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II - até o valor dos saldos contábeis referentes aos créditos decorrentes de diferenças temporárias verificados em 30 de junho de 2020.</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 1º O disposto neste artigo não se aplica aos créditos decorrentes de diferenças temporárias referentes a provisões para créditos de liquidação duvidosa e de provisões passivas relacionadas a ações fiscais e previdenciárias.</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 2º Para fins do disposto neste artigo, os créditos decorrentes de diferenças temporárias correspondem à aplicação das alíquotas do Imposto sobre a Renda da Pessoa Jurídica - IRPJ e da Contribuição Social sobre o Lucro Líquido - CSLL sobre as diferenças entre as despesas ou as perdas decorrentes das atividades das pessoas jurídicas referidas no</w:t>
      </w:r>
      <w:r w:rsidR="00013372">
        <w:rPr>
          <w:rFonts w:ascii="Arial" w:hAnsi="Arial" w:cs="Arial"/>
          <w:color w:val="162937"/>
          <w:sz w:val="22"/>
          <w:szCs w:val="22"/>
        </w:rPr>
        <w:t xml:space="preserve"> </w:t>
      </w:r>
      <w:r w:rsidRPr="00013372">
        <w:rPr>
          <w:rStyle w:val="Forte"/>
          <w:rFonts w:ascii="Arial" w:hAnsi="Arial" w:cs="Arial"/>
          <w:color w:val="162937"/>
          <w:sz w:val="22"/>
          <w:szCs w:val="22"/>
        </w:rPr>
        <w:t>caput</w:t>
      </w:r>
      <w:r w:rsidRPr="00013372">
        <w:rPr>
          <w:rFonts w:ascii="Arial" w:hAnsi="Arial" w:cs="Arial"/>
          <w:color w:val="162937"/>
          <w:sz w:val="22"/>
          <w:szCs w:val="22"/>
        </w:rPr>
        <w:t>, deduzidas de acordo com a legislação contábil societária, e as despesas ou as perdas autorizadas como dedução para determinação do lucro real e da base de cálculo da CSLL, conforme a legislação vigente.</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 xml:space="preserve">§ 3º A instituição participante identificará os eventos e os valores das despesas e das perdas que deram origem aos saldos dos créditos decorrentes de </w:t>
      </w:r>
      <w:r w:rsidRPr="00013372">
        <w:rPr>
          <w:rFonts w:ascii="Arial" w:hAnsi="Arial" w:cs="Arial"/>
          <w:color w:val="162937"/>
          <w:sz w:val="22"/>
          <w:szCs w:val="22"/>
        </w:rPr>
        <w:lastRenderedPageBreak/>
        <w:t>diferenças temporárias verificados em 30 de junho de 2020, a que se refere o inciso II do</w:t>
      </w:r>
      <w:r w:rsidR="00013372">
        <w:rPr>
          <w:rFonts w:ascii="Arial" w:hAnsi="Arial" w:cs="Arial"/>
          <w:color w:val="162937"/>
          <w:sz w:val="22"/>
          <w:szCs w:val="22"/>
        </w:rPr>
        <w:t xml:space="preserve"> </w:t>
      </w:r>
      <w:r w:rsidRPr="00013372">
        <w:rPr>
          <w:rStyle w:val="Forte"/>
          <w:rFonts w:ascii="Arial" w:hAnsi="Arial" w:cs="Arial"/>
          <w:color w:val="162937"/>
          <w:sz w:val="22"/>
          <w:szCs w:val="22"/>
        </w:rPr>
        <w:t>caput</w:t>
      </w:r>
      <w:r w:rsidRPr="00013372">
        <w:rPr>
          <w:rFonts w:ascii="Arial" w:hAnsi="Arial" w:cs="Arial"/>
          <w:color w:val="162937"/>
          <w:sz w:val="22"/>
          <w:szCs w:val="22"/>
        </w:rPr>
        <w:t>.</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 4º O valor dos saldos contábeis referentes aos créditos decorrentes de diferenças temporárias verificados em 30 de junho de 2020, de que trata o inciso II do</w:t>
      </w:r>
      <w:r w:rsidR="00013372">
        <w:rPr>
          <w:rFonts w:ascii="Arial" w:hAnsi="Arial" w:cs="Arial"/>
          <w:color w:val="162937"/>
          <w:sz w:val="22"/>
          <w:szCs w:val="22"/>
        </w:rPr>
        <w:t xml:space="preserve"> </w:t>
      </w:r>
      <w:r w:rsidRPr="00013372">
        <w:rPr>
          <w:rStyle w:val="Forte"/>
          <w:rFonts w:ascii="Arial" w:hAnsi="Arial" w:cs="Arial"/>
          <w:color w:val="162937"/>
          <w:sz w:val="22"/>
          <w:szCs w:val="22"/>
        </w:rPr>
        <w:t>caput</w:t>
      </w:r>
      <w:r w:rsidRPr="00013372">
        <w:rPr>
          <w:rFonts w:ascii="Arial" w:hAnsi="Arial" w:cs="Arial"/>
          <w:color w:val="162937"/>
          <w:sz w:val="22"/>
          <w:szCs w:val="22"/>
        </w:rPr>
        <w:t>, será reduzido à medida que as despesas ou as perdas de que trata o § 3º sejam contabilmente revertidas ou deduzidas na determinação do lucro real e da base de cálculo da CSLL.</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Art. 4º A apuração do crédito presumido de que trata o art. 3º poderá ser realizada a cada ano-calendário, a partir do ano-calendário de 2021, quando apresentarem, de forma cumulativa:</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I - créditos decorrentes de diferenças temporárias, em conformidade com o disposto no art. 3º, oriundos de registros existentes no ano-calendário anterior; e</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II - prejuízo fiscal apurado no ano-calendário anterior.</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 1º O valor do crédito presumido de que trata o</w:t>
      </w:r>
      <w:r w:rsidR="00013372">
        <w:rPr>
          <w:rFonts w:ascii="Arial" w:hAnsi="Arial" w:cs="Arial"/>
          <w:color w:val="162937"/>
          <w:sz w:val="22"/>
          <w:szCs w:val="22"/>
        </w:rPr>
        <w:t xml:space="preserve"> </w:t>
      </w:r>
      <w:r w:rsidRPr="00013372">
        <w:rPr>
          <w:rStyle w:val="Forte"/>
          <w:rFonts w:ascii="Arial" w:hAnsi="Arial" w:cs="Arial"/>
          <w:color w:val="162937"/>
          <w:sz w:val="22"/>
          <w:szCs w:val="22"/>
        </w:rPr>
        <w:t>caput</w:t>
      </w:r>
      <w:r w:rsidR="00013372">
        <w:rPr>
          <w:rStyle w:val="Forte"/>
          <w:rFonts w:ascii="Arial" w:hAnsi="Arial" w:cs="Arial"/>
          <w:color w:val="162937"/>
          <w:sz w:val="22"/>
          <w:szCs w:val="22"/>
        </w:rPr>
        <w:t xml:space="preserve"> </w:t>
      </w:r>
      <w:r w:rsidRPr="00013372">
        <w:rPr>
          <w:rFonts w:ascii="Arial" w:hAnsi="Arial" w:cs="Arial"/>
          <w:color w:val="162937"/>
          <w:sz w:val="22"/>
          <w:szCs w:val="22"/>
        </w:rPr>
        <w:t>será apurado com base na fórmula constante do Anexo I.</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 2º O crédito presumido de que trata este artigo fica limitado ao menor dos seguintes valores:</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I - o saldo dos créditos decorrentes de diferenças temporárias, existentes no ano-calendário anterior; ou</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II - o valor do prejuízo fiscal apurado no ano-calendário anterior.</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 3º Não poderá ser aproveitada em outros períodos de apuração a parcela equivalente ao valor do crédito presumido apurado na forma prevista no § 1º dividido pela soma das alíquotas do IRPJ e da CSLL.</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Art. 5º Na hipótese de falência ou liquidação extrajudicial das pessoas jurídicas de que trata o art. 3º, o saldo total dos créditos decorrentes de diferenças temporárias existente na data da decretação da falência ou da liquidação extrajudicial corresponderá ao valor do crédito presumido a partir dessa data, observado o disposto no art. 3º.</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Parágrafo único. O disposto no</w:t>
      </w:r>
      <w:r w:rsidR="00013372">
        <w:rPr>
          <w:rFonts w:ascii="Arial" w:hAnsi="Arial" w:cs="Arial"/>
          <w:color w:val="162937"/>
          <w:sz w:val="22"/>
          <w:szCs w:val="22"/>
        </w:rPr>
        <w:t xml:space="preserve"> </w:t>
      </w:r>
      <w:r w:rsidRPr="00013372">
        <w:rPr>
          <w:rStyle w:val="Forte"/>
          <w:rFonts w:ascii="Arial" w:hAnsi="Arial" w:cs="Arial"/>
          <w:color w:val="162937"/>
          <w:sz w:val="22"/>
          <w:szCs w:val="22"/>
        </w:rPr>
        <w:t>caput</w:t>
      </w:r>
      <w:r w:rsidR="00013372">
        <w:rPr>
          <w:rStyle w:val="Forte"/>
          <w:rFonts w:ascii="Arial" w:hAnsi="Arial" w:cs="Arial"/>
          <w:color w:val="162937"/>
          <w:sz w:val="22"/>
          <w:szCs w:val="22"/>
        </w:rPr>
        <w:t xml:space="preserve"> </w:t>
      </w:r>
      <w:r w:rsidRPr="00013372">
        <w:rPr>
          <w:rFonts w:ascii="Arial" w:hAnsi="Arial" w:cs="Arial"/>
          <w:color w:val="162937"/>
          <w:sz w:val="22"/>
          <w:szCs w:val="22"/>
        </w:rPr>
        <w:t>se aplica somente às pessoas jurídicas cuja liquidação extrajudicial ou falência tenha sido decretada após a data da entrada em vigor desta Medida Provisória.</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Art. 6º O crédito presumido de que tratam os art. 4º e art. 5º poderá ser objeto de pedido de ressarcimento.</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 1º O ressarcimento em espécie ou em títulos da dívida pública mobiliária federal, a critério do Ministro de Estado da Economia, será precedido da dedução de ofício de valores de natureza tributária ou não tributária devidos à Fazenda Nacional pelas pessoas jurídicas de que trata o art. 3º.</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 2º O disposto no art. 74 da Lei nº 9.430, de 27 de dezembro de 1996, não se aplica ao crédito presumido de que trata esta Medida Provisória.</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Art. 7º A partir da dedução de ofício dos débitos com a Fazenda Nacional ou do ressarcimento a que se refere o art. 6º, as pessoas jurídicas de que trata o art. 1º deverão adicionar ao lucro líquido, para fins de apuração do lucro real e da base de cálculo da CSLL, o valor apurado com base na fórmula constante do Anexo II.</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lastRenderedPageBreak/>
        <w:t>Parágrafo único. A pessoa jurídica que não adicionar ao lucro líquido o valor de que trata o</w:t>
      </w:r>
      <w:r w:rsidR="00013372">
        <w:rPr>
          <w:rFonts w:ascii="Arial" w:hAnsi="Arial" w:cs="Arial"/>
          <w:color w:val="162937"/>
          <w:sz w:val="22"/>
          <w:szCs w:val="22"/>
        </w:rPr>
        <w:t xml:space="preserve"> </w:t>
      </w:r>
      <w:r w:rsidRPr="00013372">
        <w:rPr>
          <w:rStyle w:val="Forte"/>
          <w:rFonts w:ascii="Arial" w:hAnsi="Arial" w:cs="Arial"/>
          <w:color w:val="162937"/>
          <w:sz w:val="22"/>
          <w:szCs w:val="22"/>
        </w:rPr>
        <w:t>caput</w:t>
      </w:r>
      <w:r w:rsidR="00013372">
        <w:rPr>
          <w:rStyle w:val="Forte"/>
          <w:rFonts w:ascii="Arial" w:hAnsi="Arial" w:cs="Arial"/>
          <w:color w:val="162937"/>
          <w:sz w:val="22"/>
          <w:szCs w:val="22"/>
        </w:rPr>
        <w:t xml:space="preserve"> </w:t>
      </w:r>
      <w:r w:rsidRPr="00013372">
        <w:rPr>
          <w:rFonts w:ascii="Arial" w:hAnsi="Arial" w:cs="Arial"/>
          <w:color w:val="162937"/>
          <w:sz w:val="22"/>
          <w:szCs w:val="22"/>
        </w:rPr>
        <w:t>ficará sujeita ao lançamento de ofício das diferenças apuradas do IRPJ e da CSLL.</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Art. 8º Será aplicada multa de trinta por cento sobre o valor deduzido de ofício dos débitos com a Fazenda Nacional ou ressarcido em espécie ou em títulos da dívida pública mobiliária federal às pessoas jurídicas que solicitarem o ressarcimento de crédito presumido de que trata o art. 6º nas hipóteses em que a dedução ou o ressarcimento for obtido com falsidade no pedido por elas apresentado, sem prejuízo da devolução do valor deduzido ou ressarcido indevidamente.</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Art. 9º A dedução de ofício poderá ser objeto de revisão pela autoridade administrativa, a pedido, quando o sujeito passivo alegar inexistência do débito deduzido.</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Art. 10. Para fins de apuração dos créditos presumidos, os saldos contábeis mencionados nos art. 3º, art. 4º e art. 5º serão fornecidos à Secretaria Especial da Receita Federal do Brasil do Ministério da Economia pelo Banco Central do Brasil, quando solicitado, com base nos dados disponíveis em seus sistemas de informação.</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Art. 11. A Fazenda Nacional poderá verificar a exatidão dos créditos presumidos apurados de acordo com o disposto nos art. 4º e art. 5º pelo prazo de cinco anos, contado da data do pedido de ressarcimento de que trata o art. 7º.</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Art. 12. As pessoas jurídicas mencionadas no art. 3º manterão os controles contábeis e a documentação necessários para identificar:</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I - os saldos dos créditos decorrentes de diferenças temporárias de que trata esta Medida Provisória; e</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II - os créditos concedidos no âmbito do CGPE, de que trata o art. 2º.</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Art. 13. A Secretaria Especial da Receita Federal do Brasil do Ministério da Economia, o Conselho Monetário Nacional e o Banco Central do Brasil, no âmbito de suas competências, disciplinarão o disposto nesta Medida Provisória.</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Parágrafo único. O Banco Central do Brasil será responsável pela supervisão do CGPE e deverá:</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I - fiscalizar o cumprimento, pelas instituições financeiras participantes, das condições estabelecidas para o CGPE pelo Conselho Monetário Nacional; e</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II - acompanhar e avaliar os resultados alcançados no âmbito do CGPE.</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Art. 14. A Lei nº 13.476, de 28 de agosto de 2017, passa a vigorar com as seguintes alterações:</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 xml:space="preserve">"Art. 9º-A Fica permitido ao </w:t>
      </w:r>
      <w:proofErr w:type="spellStart"/>
      <w:r w:rsidRPr="00013372">
        <w:rPr>
          <w:rFonts w:ascii="Arial" w:hAnsi="Arial" w:cs="Arial"/>
          <w:color w:val="162937"/>
          <w:sz w:val="22"/>
          <w:szCs w:val="22"/>
        </w:rPr>
        <w:t>fiduciante</w:t>
      </w:r>
      <w:proofErr w:type="spellEnd"/>
      <w:r w:rsidRPr="00013372">
        <w:rPr>
          <w:rFonts w:ascii="Arial" w:hAnsi="Arial" w:cs="Arial"/>
          <w:color w:val="162937"/>
          <w:sz w:val="22"/>
          <w:szCs w:val="22"/>
        </w:rPr>
        <w:t>, com a anuência do credor fiduciário, utilizar o bem imóvel alienado fiduciariamente como garantia de novas e autônomas operações de crédito de qualquer natureza, desde que contratadas com o credor fiduciário da operação de crédito original.</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 1º O compartilhamento da alienação fiduciária de que trata o</w:t>
      </w:r>
      <w:r w:rsidR="00013372">
        <w:rPr>
          <w:rFonts w:ascii="Arial" w:hAnsi="Arial" w:cs="Arial"/>
          <w:color w:val="162937"/>
          <w:sz w:val="22"/>
          <w:szCs w:val="22"/>
        </w:rPr>
        <w:t xml:space="preserve"> </w:t>
      </w:r>
      <w:r w:rsidRPr="00013372">
        <w:rPr>
          <w:rStyle w:val="Forte"/>
          <w:rFonts w:ascii="Arial" w:hAnsi="Arial" w:cs="Arial"/>
          <w:color w:val="162937"/>
          <w:sz w:val="22"/>
          <w:szCs w:val="22"/>
        </w:rPr>
        <w:t>caput</w:t>
      </w:r>
      <w:r w:rsidR="00013372">
        <w:rPr>
          <w:rStyle w:val="Forte"/>
          <w:rFonts w:ascii="Arial" w:hAnsi="Arial" w:cs="Arial"/>
          <w:color w:val="162937"/>
          <w:sz w:val="22"/>
          <w:szCs w:val="22"/>
        </w:rPr>
        <w:t xml:space="preserve"> </w:t>
      </w:r>
      <w:r w:rsidRPr="00013372">
        <w:rPr>
          <w:rFonts w:ascii="Arial" w:hAnsi="Arial" w:cs="Arial"/>
          <w:color w:val="162937"/>
          <w:sz w:val="22"/>
          <w:szCs w:val="22"/>
        </w:rPr>
        <w:t>somente poderá ser contratado, por pessoa natural ou jurídica, no âmbito do Sistema Financeiro Nacional.</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 xml:space="preserve">§ 2º O </w:t>
      </w:r>
      <w:proofErr w:type="spellStart"/>
      <w:r w:rsidRPr="00013372">
        <w:rPr>
          <w:rFonts w:ascii="Arial" w:hAnsi="Arial" w:cs="Arial"/>
          <w:color w:val="162937"/>
          <w:sz w:val="22"/>
          <w:szCs w:val="22"/>
        </w:rPr>
        <w:t>fiduciante</w:t>
      </w:r>
      <w:proofErr w:type="spellEnd"/>
      <w:r w:rsidRPr="00013372">
        <w:rPr>
          <w:rFonts w:ascii="Arial" w:hAnsi="Arial" w:cs="Arial"/>
          <w:color w:val="162937"/>
          <w:sz w:val="22"/>
          <w:szCs w:val="22"/>
        </w:rPr>
        <w:t xml:space="preserve"> pessoa natural somente poderá contratar as operações de crédito de que trata o</w:t>
      </w:r>
      <w:r w:rsidR="00013372">
        <w:rPr>
          <w:rFonts w:ascii="Arial" w:hAnsi="Arial" w:cs="Arial"/>
          <w:color w:val="162937"/>
          <w:sz w:val="22"/>
          <w:szCs w:val="22"/>
        </w:rPr>
        <w:t xml:space="preserve"> </w:t>
      </w:r>
      <w:r w:rsidRPr="00013372">
        <w:rPr>
          <w:rStyle w:val="Forte"/>
          <w:rFonts w:ascii="Arial" w:hAnsi="Arial" w:cs="Arial"/>
          <w:color w:val="162937"/>
          <w:sz w:val="22"/>
          <w:szCs w:val="22"/>
        </w:rPr>
        <w:t>caput</w:t>
      </w:r>
      <w:r w:rsidR="00013372">
        <w:rPr>
          <w:rStyle w:val="Forte"/>
          <w:rFonts w:ascii="Arial" w:hAnsi="Arial" w:cs="Arial"/>
          <w:color w:val="162937"/>
          <w:sz w:val="22"/>
          <w:szCs w:val="22"/>
        </w:rPr>
        <w:t xml:space="preserve"> </w:t>
      </w:r>
      <w:r w:rsidRPr="00013372">
        <w:rPr>
          <w:rFonts w:ascii="Arial" w:hAnsi="Arial" w:cs="Arial"/>
          <w:color w:val="162937"/>
          <w:sz w:val="22"/>
          <w:szCs w:val="22"/>
        </w:rPr>
        <w:t>em benefício próprio ou de sua entidade familiar, mediante a apresentação de declaração contratual destinada a esse fim." (NR)</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"Art. 9º-B O compartilhamento da alienação fiduciária de coisa imóvel deverá ser averbado no cartório de registro de imóveis competente.</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 1º O instrumento de que trata o</w:t>
      </w:r>
      <w:r w:rsidR="00013372">
        <w:rPr>
          <w:rFonts w:ascii="Arial" w:hAnsi="Arial" w:cs="Arial"/>
          <w:color w:val="162937"/>
          <w:sz w:val="22"/>
          <w:szCs w:val="22"/>
        </w:rPr>
        <w:t xml:space="preserve"> </w:t>
      </w:r>
      <w:r w:rsidRPr="00013372">
        <w:rPr>
          <w:rStyle w:val="Forte"/>
          <w:rFonts w:ascii="Arial" w:hAnsi="Arial" w:cs="Arial"/>
          <w:color w:val="162937"/>
          <w:sz w:val="22"/>
          <w:szCs w:val="22"/>
        </w:rPr>
        <w:t>caput</w:t>
      </w:r>
      <w:r w:rsidRPr="00013372">
        <w:rPr>
          <w:rFonts w:ascii="Arial" w:hAnsi="Arial" w:cs="Arial"/>
          <w:color w:val="162937"/>
          <w:sz w:val="22"/>
          <w:szCs w:val="22"/>
        </w:rPr>
        <w:t>, que serve de título ao compartilhamento da alienação fiduciária, deverá conter:</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I - valor principal da nova operação de crédito;</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II - taxa de juros e encargos incidentes;</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III - prazo e condições de reposição do empréstimo ou do crédito do credor fiduciário;</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 xml:space="preserve">IV - declaração do </w:t>
      </w:r>
      <w:proofErr w:type="spellStart"/>
      <w:r w:rsidRPr="00013372">
        <w:rPr>
          <w:rFonts w:ascii="Arial" w:hAnsi="Arial" w:cs="Arial"/>
          <w:color w:val="162937"/>
          <w:sz w:val="22"/>
          <w:szCs w:val="22"/>
        </w:rPr>
        <w:t>fiduciante</w:t>
      </w:r>
      <w:proofErr w:type="spellEnd"/>
      <w:r w:rsidRPr="00013372">
        <w:rPr>
          <w:rFonts w:ascii="Arial" w:hAnsi="Arial" w:cs="Arial"/>
          <w:color w:val="162937"/>
          <w:sz w:val="22"/>
          <w:szCs w:val="22"/>
        </w:rPr>
        <w:t>, de que trata o § 2º do art. 9-A, quando pessoa natural;</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 xml:space="preserve">V - prazo de carência, após o qual será expedida a intimação para constituição em mora do </w:t>
      </w:r>
      <w:proofErr w:type="spellStart"/>
      <w:r w:rsidRPr="00013372">
        <w:rPr>
          <w:rFonts w:ascii="Arial" w:hAnsi="Arial" w:cs="Arial"/>
          <w:color w:val="162937"/>
          <w:sz w:val="22"/>
          <w:szCs w:val="22"/>
        </w:rPr>
        <w:t>fiduciante</w:t>
      </w:r>
      <w:proofErr w:type="spellEnd"/>
      <w:r w:rsidRPr="00013372">
        <w:rPr>
          <w:rFonts w:ascii="Arial" w:hAnsi="Arial" w:cs="Arial"/>
          <w:color w:val="162937"/>
          <w:sz w:val="22"/>
          <w:szCs w:val="22"/>
        </w:rPr>
        <w:t>;</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 xml:space="preserve">VI - cláusula com a previsão de que, enquanto o </w:t>
      </w:r>
      <w:proofErr w:type="spellStart"/>
      <w:r w:rsidRPr="00013372">
        <w:rPr>
          <w:rFonts w:ascii="Arial" w:hAnsi="Arial" w:cs="Arial"/>
          <w:color w:val="162937"/>
          <w:sz w:val="22"/>
          <w:szCs w:val="22"/>
        </w:rPr>
        <w:t>fiduciante</w:t>
      </w:r>
      <w:proofErr w:type="spellEnd"/>
      <w:r w:rsidRPr="00013372">
        <w:rPr>
          <w:rFonts w:ascii="Arial" w:hAnsi="Arial" w:cs="Arial"/>
          <w:color w:val="162937"/>
          <w:sz w:val="22"/>
          <w:szCs w:val="22"/>
        </w:rPr>
        <w:t xml:space="preserve"> estiver adimplente, este poderá utilizar livremente, por sua conta e risco, o imóvel objeto da alienação fiduciária;</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VII - cláusula com a previsão de que o inadimplemento e a ausência de purgação da mora, de que trata o art. 26 da Lei nº 9.514, de 1997, em relação a quaisquer das operações de crédito, faculta ao credor fiduciário considerar vencidas antecipadamente as demais operações de crédito contratadas no âmbito do compartilhamento da alienação fiduciária, situação em que será exigível a totalidade da dívida para todos os efeitos legais; e</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VIII - cláusula com a previsão de que as disposições e os requisitos de que trata o art. 27 da Lei nº 9.514, de 1997, deverão ser cumpridos.</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 xml:space="preserve">§ 2º As operações de crédito, no âmbito do compartilhamento da alienação fiduciária, poderão ser celebradas por instrumento público ou particular, mediante a manifestação de vontade do </w:t>
      </w:r>
      <w:proofErr w:type="spellStart"/>
      <w:r w:rsidRPr="00013372">
        <w:rPr>
          <w:rFonts w:ascii="Arial" w:hAnsi="Arial" w:cs="Arial"/>
          <w:color w:val="162937"/>
          <w:sz w:val="22"/>
          <w:szCs w:val="22"/>
        </w:rPr>
        <w:t>fiduciante</w:t>
      </w:r>
      <w:proofErr w:type="spellEnd"/>
      <w:r w:rsidRPr="00013372">
        <w:rPr>
          <w:rFonts w:ascii="Arial" w:hAnsi="Arial" w:cs="Arial"/>
          <w:color w:val="162937"/>
          <w:sz w:val="22"/>
          <w:szCs w:val="22"/>
        </w:rPr>
        <w:t xml:space="preserve"> e do credor fiduciário, pelas formas admitidas na legislação em vigor, inclusive por meio eletrônico.</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 3º As disposições do inciso II do</w:t>
      </w:r>
      <w:r w:rsidR="00013372">
        <w:rPr>
          <w:rFonts w:ascii="Arial" w:hAnsi="Arial" w:cs="Arial"/>
          <w:color w:val="162937"/>
          <w:sz w:val="22"/>
          <w:szCs w:val="22"/>
        </w:rPr>
        <w:t xml:space="preserve"> </w:t>
      </w:r>
      <w:r w:rsidRPr="00013372">
        <w:rPr>
          <w:rStyle w:val="Forte"/>
          <w:rFonts w:ascii="Arial" w:hAnsi="Arial" w:cs="Arial"/>
          <w:color w:val="162937"/>
          <w:sz w:val="22"/>
          <w:szCs w:val="22"/>
        </w:rPr>
        <w:t>caput</w:t>
      </w:r>
      <w:r w:rsidR="00013372">
        <w:rPr>
          <w:rStyle w:val="Forte"/>
          <w:rFonts w:ascii="Arial" w:hAnsi="Arial" w:cs="Arial"/>
          <w:color w:val="162937"/>
          <w:sz w:val="22"/>
          <w:szCs w:val="22"/>
        </w:rPr>
        <w:t xml:space="preserve"> </w:t>
      </w:r>
      <w:r w:rsidRPr="00013372">
        <w:rPr>
          <w:rFonts w:ascii="Arial" w:hAnsi="Arial" w:cs="Arial"/>
          <w:color w:val="162937"/>
          <w:sz w:val="22"/>
          <w:szCs w:val="22"/>
        </w:rPr>
        <w:t>do art. 221 da Lei nº 6.015, de 31 de dezembro de 1973, aplicam-se à dispensa do reconhecimento de firmas e às operações garantidas pelo compartilhamento da alienação fiduciária." (NR)</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 xml:space="preserve">"Art. 9º-C Constituído o compartilhamento da alienação fiduciária, a liquidação antecipada de quaisquer das operações de crédito, original ou derivada, não obriga o </w:t>
      </w:r>
      <w:proofErr w:type="spellStart"/>
      <w:r w:rsidRPr="00013372">
        <w:rPr>
          <w:rFonts w:ascii="Arial" w:hAnsi="Arial" w:cs="Arial"/>
          <w:color w:val="162937"/>
          <w:sz w:val="22"/>
          <w:szCs w:val="22"/>
        </w:rPr>
        <w:t>fiduciante</w:t>
      </w:r>
      <w:proofErr w:type="spellEnd"/>
      <w:r w:rsidRPr="00013372">
        <w:rPr>
          <w:rFonts w:ascii="Arial" w:hAnsi="Arial" w:cs="Arial"/>
          <w:color w:val="162937"/>
          <w:sz w:val="22"/>
          <w:szCs w:val="22"/>
        </w:rPr>
        <w:t xml:space="preserve"> a liquidar antecipadamente as demais operações de crédito vinculadas à mesma garantia, hipótese em que permanecerão vigentes as condições e os prazos nelas convencionados.</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Parágrafo único. Na hipótese de liquidação de quaisquer das operações de crédito garantidas por meio de alienação fiduciária de imóvel, caberá:</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I - ao credor expedir o termo de quitação relacionado exclusivamente à operação de crédito liquidada; e</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II - ao oficial do registro de imóveis competente fazer a averbação na matrícula do imóvel." (NR)</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"Art. 9º-D Na hipótese de inadimplemento e ausência de purgação da mora, de que trata o art. 26 da Lei nº 9.514, de 1997, em relação a quaisquer das operações de crédito, independentemente de seu valor, o credor fiduciário poderá considerar vencidas antecipadamente todas as demais operações de crédito contratadas no âmbito do compartilhamento da alienação fiduciária, situação em que será exigível a totalidade da dívida para todos os efeitos legais.</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 1º Na hipótese prevista no</w:t>
      </w:r>
      <w:r w:rsidR="00013372">
        <w:rPr>
          <w:rFonts w:ascii="Arial" w:hAnsi="Arial" w:cs="Arial"/>
          <w:color w:val="162937"/>
          <w:sz w:val="22"/>
          <w:szCs w:val="22"/>
        </w:rPr>
        <w:t xml:space="preserve"> </w:t>
      </w:r>
      <w:r w:rsidRPr="00013372">
        <w:rPr>
          <w:rStyle w:val="Forte"/>
          <w:rFonts w:ascii="Arial" w:hAnsi="Arial" w:cs="Arial"/>
          <w:color w:val="162937"/>
          <w:sz w:val="22"/>
          <w:szCs w:val="22"/>
        </w:rPr>
        <w:t>caput</w:t>
      </w:r>
      <w:r w:rsidRPr="00013372">
        <w:rPr>
          <w:rFonts w:ascii="Arial" w:hAnsi="Arial" w:cs="Arial"/>
          <w:color w:val="162937"/>
          <w:sz w:val="22"/>
          <w:szCs w:val="22"/>
        </w:rPr>
        <w:t>, após o vencimento antecipado de todas as operações de crédito, o credor fiduciário promoverá os demais procedimentos de consolidação da propriedade e de leilão de que tratam os art. 26 e art. 27 da Lei nº 9.514, de 1997.</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 2º A informação sobre o exercício, pelo credor fiduciário, da faculdade de considerar vencidas todas as operações contratadas no âmbito do compartilhamento da alienação fiduciária, nos termos do disposto no</w:t>
      </w:r>
      <w:r w:rsidR="00013372">
        <w:rPr>
          <w:rFonts w:ascii="Arial" w:hAnsi="Arial" w:cs="Arial"/>
          <w:color w:val="162937"/>
          <w:sz w:val="22"/>
          <w:szCs w:val="22"/>
        </w:rPr>
        <w:t xml:space="preserve"> </w:t>
      </w:r>
      <w:r w:rsidRPr="00013372">
        <w:rPr>
          <w:rStyle w:val="Forte"/>
          <w:rFonts w:ascii="Arial" w:hAnsi="Arial" w:cs="Arial"/>
          <w:color w:val="162937"/>
          <w:sz w:val="22"/>
          <w:szCs w:val="22"/>
        </w:rPr>
        <w:t>caput</w:t>
      </w:r>
      <w:r w:rsidRPr="00013372">
        <w:rPr>
          <w:rFonts w:ascii="Arial" w:hAnsi="Arial" w:cs="Arial"/>
          <w:color w:val="162937"/>
          <w:sz w:val="22"/>
          <w:szCs w:val="22"/>
        </w:rPr>
        <w:t>, deverá constar da intimação de que trata o § 1º do art. 26 da Lei nº 9.514, de 1997.</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 3º Serão incluídos no conceito de dívida de que trata o inciso I do § 3º do art. 27 da Lei nº 9.514, de 1997, os saldos devedores de todas as operações de crédito garantidas pelo compartilhamento da alienação fiduciária.</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 4º O disposto no § 5º do art. 27 da Lei nº 9.514, de 1997, não se aplica às operações garantidas pelo compartilhamento da alienação fiduciária, hipótese em que o credor fiduciário poderá exigir o saldo remanescente, exceto quando uma ou mais operações tenham natureza de financiamento imobiliário habitacional contratado por pessoa natural.</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 5º O disposto no art. 54 da Lei nº 13.097, de 2015, aplica-se às contratações decorrentes do compartilhamento de alienação fiduciária." (NR)</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Art. 15. A Lei nº 6.015, de 31 de dezembro de 1973, passa a vigorar com as seguintes alterações:</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"Art. 167. ........................................................................................................</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II - ..................................................................................................................</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33. do compartilhamento de alienação fiduciária por nova operação de crédito contratada com o mesmo credor, na forma prevista na Lei nº 13.476, de 28 de agosto de 2017." (NR)</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Art. 16. A Lei nº 13.097, de 19 de janeiro de 2015, passa a vigorar com as seguintes alterações:</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"Art. 95. .........................................................................................................</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 3º-A O percentual de que trata o § 3º poderá ser de até dez por cento para operações contratadas até 30 de junho de 2021, nas condições a serem estabelecidas pelo Conselho Monetário Nacional.</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 (NR)</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Art. 17. Nas operações praticadas pelo Banco Central do Brasil em decorrência do disposto no art. 7º da Emenda Constitucional nº 106, de 2020, não será observado o disposto:</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I - no § 1º do art. 362 da Consolidação das Leis do Trabalho, aprovada pelo Decreto-Lei nº 5.452, de 1º de maio de 1943;</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II - no art. 62 do Decreto-Lei nº 147, de 3 de fevereiro de 1967;</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III - no § 1º do art. 1º do Decreto-Lei nº 1.715, de 22 de novembro de 1979;</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IV - nas alíneas "b" e "c" do</w:t>
      </w:r>
      <w:r w:rsidR="00013372">
        <w:rPr>
          <w:rFonts w:ascii="Arial" w:hAnsi="Arial" w:cs="Arial"/>
          <w:color w:val="162937"/>
          <w:sz w:val="22"/>
          <w:szCs w:val="22"/>
        </w:rPr>
        <w:t xml:space="preserve"> </w:t>
      </w:r>
      <w:r w:rsidRPr="00013372">
        <w:rPr>
          <w:rStyle w:val="Forte"/>
          <w:rFonts w:ascii="Arial" w:hAnsi="Arial" w:cs="Arial"/>
          <w:color w:val="162937"/>
          <w:sz w:val="22"/>
          <w:szCs w:val="22"/>
        </w:rPr>
        <w:t>caput</w:t>
      </w:r>
      <w:r w:rsidR="00013372">
        <w:rPr>
          <w:rStyle w:val="Forte"/>
          <w:rFonts w:ascii="Arial" w:hAnsi="Arial" w:cs="Arial"/>
          <w:color w:val="162937"/>
          <w:sz w:val="22"/>
          <w:szCs w:val="22"/>
        </w:rPr>
        <w:t xml:space="preserve"> </w:t>
      </w:r>
      <w:r w:rsidRPr="00013372">
        <w:rPr>
          <w:rFonts w:ascii="Arial" w:hAnsi="Arial" w:cs="Arial"/>
          <w:color w:val="162937"/>
          <w:sz w:val="22"/>
          <w:szCs w:val="22"/>
        </w:rPr>
        <w:t>do art. 27 da Lei nº 8.036, de 11 de maio de 1990;</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V - na alínea "a" do inciso I do</w:t>
      </w:r>
      <w:r w:rsidR="00013372">
        <w:rPr>
          <w:rFonts w:ascii="Arial" w:hAnsi="Arial" w:cs="Arial"/>
          <w:color w:val="162937"/>
          <w:sz w:val="22"/>
          <w:szCs w:val="22"/>
        </w:rPr>
        <w:t xml:space="preserve"> </w:t>
      </w:r>
      <w:r w:rsidRPr="00013372">
        <w:rPr>
          <w:rStyle w:val="Forte"/>
          <w:rFonts w:ascii="Arial" w:hAnsi="Arial" w:cs="Arial"/>
          <w:color w:val="162937"/>
          <w:sz w:val="22"/>
          <w:szCs w:val="22"/>
        </w:rPr>
        <w:t>caput</w:t>
      </w:r>
      <w:r w:rsidR="00013372">
        <w:rPr>
          <w:rStyle w:val="Forte"/>
          <w:rFonts w:ascii="Arial" w:hAnsi="Arial" w:cs="Arial"/>
          <w:color w:val="162937"/>
          <w:sz w:val="22"/>
          <w:szCs w:val="22"/>
        </w:rPr>
        <w:t xml:space="preserve"> </w:t>
      </w:r>
      <w:r w:rsidRPr="00013372">
        <w:rPr>
          <w:rFonts w:ascii="Arial" w:hAnsi="Arial" w:cs="Arial"/>
          <w:color w:val="162937"/>
          <w:sz w:val="22"/>
          <w:szCs w:val="22"/>
        </w:rPr>
        <w:t>do art. 47 da Lei nº 8.212, de 24 de julho de 1991; e</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VI - no art. 6º da Lei nº 10.522, de 19 de julho de 2002.</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Art. 18. Esta Medida Provisória entra em vigor na data de sua publicação.</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Brasília, 16 de julho de 2020; 199º da Independência e 132º da República.</w:t>
      </w:r>
    </w:p>
    <w:p w:rsidR="0034794A" w:rsidRPr="00013372" w:rsidRDefault="0034794A" w:rsidP="00013372">
      <w:pPr>
        <w:pStyle w:val="assinapr"/>
        <w:shd w:val="clear" w:color="auto" w:fill="FFFFFF"/>
        <w:spacing w:before="300" w:beforeAutospacing="0" w:after="0" w:afterAutospacing="0"/>
        <w:ind w:left="6975" w:hanging="5841"/>
        <w:jc w:val="both"/>
        <w:rPr>
          <w:rFonts w:ascii="Arial" w:hAnsi="Arial" w:cs="Arial"/>
          <w:b/>
          <w:bCs/>
          <w:caps/>
          <w:color w:val="162937"/>
          <w:sz w:val="22"/>
          <w:szCs w:val="22"/>
        </w:rPr>
      </w:pPr>
      <w:r w:rsidRPr="00013372">
        <w:rPr>
          <w:rFonts w:ascii="Arial" w:hAnsi="Arial" w:cs="Arial"/>
          <w:b/>
          <w:bCs/>
          <w:caps/>
          <w:color w:val="162937"/>
          <w:sz w:val="22"/>
          <w:szCs w:val="22"/>
        </w:rPr>
        <w:t>JAIR MESSIAS BOLSONARO</w:t>
      </w:r>
    </w:p>
    <w:p w:rsidR="0034794A" w:rsidRPr="00013372" w:rsidRDefault="0034794A" w:rsidP="00013372">
      <w:pPr>
        <w:pStyle w:val="assina"/>
        <w:shd w:val="clear" w:color="auto" w:fill="FFFFFF"/>
        <w:spacing w:before="0" w:beforeAutospacing="0" w:after="0" w:afterAutospacing="0"/>
        <w:ind w:left="6975" w:hanging="5841"/>
        <w:jc w:val="both"/>
        <w:rPr>
          <w:rFonts w:ascii="Arial" w:hAnsi="Arial" w:cs="Arial"/>
          <w:i/>
          <w:iCs/>
          <w:color w:val="162937"/>
          <w:sz w:val="22"/>
          <w:szCs w:val="22"/>
        </w:rPr>
      </w:pPr>
      <w:r w:rsidRPr="00013372">
        <w:rPr>
          <w:rFonts w:ascii="Arial" w:hAnsi="Arial" w:cs="Arial"/>
          <w:i/>
          <w:iCs/>
          <w:color w:val="162937"/>
          <w:sz w:val="22"/>
          <w:szCs w:val="22"/>
        </w:rPr>
        <w:t>Paulo Guedes</w:t>
      </w:r>
    </w:p>
    <w:p w:rsidR="0034794A" w:rsidRPr="00013372" w:rsidRDefault="0034794A" w:rsidP="00013372">
      <w:pPr>
        <w:pStyle w:val="assina"/>
        <w:shd w:val="clear" w:color="auto" w:fill="FFFFFF"/>
        <w:spacing w:before="0" w:beforeAutospacing="0" w:after="0" w:afterAutospacing="0"/>
        <w:ind w:left="2977" w:hanging="1843"/>
        <w:jc w:val="both"/>
        <w:rPr>
          <w:rFonts w:ascii="Arial" w:hAnsi="Arial" w:cs="Arial"/>
          <w:i/>
          <w:iCs/>
          <w:color w:val="162937"/>
          <w:sz w:val="22"/>
          <w:szCs w:val="22"/>
        </w:rPr>
      </w:pPr>
      <w:r w:rsidRPr="00013372">
        <w:rPr>
          <w:rFonts w:ascii="Arial" w:hAnsi="Arial" w:cs="Arial"/>
          <w:i/>
          <w:iCs/>
          <w:color w:val="162937"/>
          <w:sz w:val="22"/>
          <w:szCs w:val="22"/>
        </w:rPr>
        <w:t>Roberto de Oliveira Campos Neto</w:t>
      </w:r>
    </w:p>
    <w:p w:rsidR="0034794A" w:rsidRPr="00013372" w:rsidRDefault="0034794A" w:rsidP="0034794A">
      <w:pPr>
        <w:pStyle w:val="dou-paragraph"/>
        <w:shd w:val="clear" w:color="auto" w:fill="FFFFFF"/>
        <w:spacing w:before="900" w:beforeAutospacing="0" w:after="150" w:afterAutospacing="0"/>
        <w:ind w:firstLine="1200"/>
        <w:jc w:val="both"/>
        <w:rPr>
          <w:rFonts w:ascii="Arial" w:hAnsi="Arial" w:cs="Arial"/>
          <w:color w:val="162937"/>
          <w:sz w:val="22"/>
          <w:szCs w:val="22"/>
        </w:rPr>
      </w:pPr>
      <w:r w:rsidRPr="00013372">
        <w:rPr>
          <w:rStyle w:val="Forte"/>
          <w:rFonts w:ascii="Arial" w:hAnsi="Arial" w:cs="Arial"/>
          <w:color w:val="162937"/>
          <w:sz w:val="22"/>
          <w:szCs w:val="22"/>
        </w:rPr>
        <w:t>ANEXO I</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FÓRMULA PARA CALCULAR O VALOR DO CRÉDITO PRESUMIDO DE QUE TRATA O ART. 4º</w:t>
      </w:r>
    </w:p>
    <w:p w:rsidR="0034794A" w:rsidRPr="00782984"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lang w:val="en-US"/>
        </w:rPr>
      </w:pPr>
      <w:r w:rsidRPr="00782984">
        <w:rPr>
          <w:rFonts w:ascii="Arial" w:hAnsi="Arial" w:cs="Arial"/>
          <w:color w:val="162937"/>
          <w:sz w:val="22"/>
          <w:szCs w:val="22"/>
          <w:lang w:val="en-US"/>
        </w:rPr>
        <w:t>CP = CDTC x [PF / (CAP + RES)]</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Em que:</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CP = crédito presumido;</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PF = valor do prejuízo fiscal apurado no ano-calendário anterior;</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CDTC = saldo de créditos decorrentes de diferenças temporárias, em conformidade com o disposto no art. 3º, oriundos de registros existentes no ano-calendário anterior;</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CAP = saldo da conta do capital social integralizado; e</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RES = saldo de reservas de capital e de reservas de lucros, apurados depois das destinações.</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Style w:val="Forte"/>
          <w:rFonts w:ascii="Arial" w:hAnsi="Arial" w:cs="Arial"/>
          <w:color w:val="162937"/>
          <w:sz w:val="22"/>
          <w:szCs w:val="22"/>
        </w:rPr>
        <w:t>ANEXO II</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FÓRMULA PARA CALCULAR O VALOR A SER ADICIONADO AO LUCRO LÍQUIDO, PARA FINS DE APURAÇÃO DO LUCRO REAL E DA BASE DE CÁLCULO DA CONTRIBUIÇÃO SOCIAL SOBRE O LUCRO LÍQUIDO, DE QUE TRATA O ART. 7º</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ADC = CP x (CREV/CDTC) x [1</w:t>
      </w:r>
      <w:proofErr w:type="gramStart"/>
      <w:r w:rsidRPr="00013372">
        <w:rPr>
          <w:rFonts w:ascii="Arial" w:hAnsi="Arial" w:cs="Arial"/>
          <w:color w:val="162937"/>
          <w:sz w:val="22"/>
          <w:szCs w:val="22"/>
        </w:rPr>
        <w:t>/(</w:t>
      </w:r>
      <w:proofErr w:type="gramEnd"/>
      <w:r w:rsidRPr="00013372">
        <w:rPr>
          <w:rFonts w:ascii="Arial" w:hAnsi="Arial" w:cs="Arial"/>
          <w:color w:val="162937"/>
          <w:sz w:val="22"/>
          <w:szCs w:val="22"/>
        </w:rPr>
        <w:t>IRPJ + CSLL)]</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Em que:</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ADC = valor a ser adicionado ao lucro líquido, para fins de apuração do lucro real e da base de cálculo da CSLL;</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CP = crédito presumido no ano-calendário anterior;</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CREV = parcela revertida no ano-calendário anterior da provisão ou da perda que gerou créditos decorrentes de diferenças temporárias;</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CDTC = saldo de créditos decorrentes de diferenças temporárias, em conformidade com o disposto no art. 4º, existentes no ano-calendário anterior;</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IRPJ = alíquota do Imposto sobre a Renda da Pessoa Jurídica; e</w:t>
      </w:r>
    </w:p>
    <w:p w:rsidR="0034794A" w:rsidRPr="00013372" w:rsidRDefault="0034794A" w:rsidP="0034794A">
      <w:pPr>
        <w:pStyle w:val="dou-paragraph"/>
        <w:shd w:val="clear" w:color="auto" w:fill="FFFFFF"/>
        <w:spacing w:before="0" w:beforeAutospacing="0" w:after="150" w:afterAutospacing="0"/>
        <w:ind w:firstLine="1200"/>
        <w:jc w:val="both"/>
        <w:rPr>
          <w:rFonts w:ascii="Arial" w:hAnsi="Arial" w:cs="Arial"/>
          <w:color w:val="162937"/>
          <w:sz w:val="22"/>
          <w:szCs w:val="22"/>
        </w:rPr>
      </w:pPr>
      <w:r w:rsidRPr="00013372">
        <w:rPr>
          <w:rFonts w:ascii="Arial" w:hAnsi="Arial" w:cs="Arial"/>
          <w:color w:val="162937"/>
          <w:sz w:val="22"/>
          <w:szCs w:val="22"/>
        </w:rPr>
        <w:t>CSLL = alíquota da Contribuição Social sobre o Lucro Líquido.</w:t>
      </w:r>
    </w:p>
    <w:p w:rsidR="00741C54" w:rsidRDefault="00741C54" w:rsidP="00ED66BB">
      <w:pPr>
        <w:ind w:firstLine="0"/>
        <w:rPr>
          <w:rFonts w:ascii="Arial" w:hAnsi="Arial" w:cs="Arial"/>
          <w:color w:val="FF0000"/>
        </w:rPr>
      </w:pPr>
    </w:p>
    <w:p w:rsidR="00FC2AB7" w:rsidRDefault="00FC2AB7" w:rsidP="00ED66BB">
      <w:pPr>
        <w:ind w:firstLine="0"/>
        <w:rPr>
          <w:rFonts w:ascii="Arial" w:hAnsi="Arial" w:cs="Arial"/>
          <w:color w:val="FF0000"/>
        </w:rPr>
      </w:pPr>
      <w:r>
        <w:rPr>
          <w:rFonts w:ascii="Arial" w:hAnsi="Arial" w:cs="Arial"/>
          <w:color w:val="FF0000"/>
        </w:rPr>
        <w:t>Este texto não substitui a versão publicada no DOU –</w:t>
      </w:r>
      <w:r w:rsidR="008705F4">
        <w:rPr>
          <w:rFonts w:ascii="Arial" w:hAnsi="Arial" w:cs="Arial"/>
          <w:color w:val="FF0000"/>
        </w:rPr>
        <w:t xml:space="preserve"> Seção 1</w:t>
      </w:r>
      <w:r w:rsidR="00013372">
        <w:rPr>
          <w:rFonts w:ascii="Arial" w:hAnsi="Arial" w:cs="Arial"/>
          <w:color w:val="FF0000"/>
        </w:rPr>
        <w:t xml:space="preserve"> – Edição Extra B, de 16.07</w:t>
      </w:r>
      <w:r>
        <w:rPr>
          <w:rFonts w:ascii="Arial" w:hAnsi="Arial" w:cs="Arial"/>
          <w:color w:val="FF0000"/>
        </w:rPr>
        <w:t>.2020.</w:t>
      </w:r>
    </w:p>
    <w:p w:rsidR="00FC2AB7" w:rsidRDefault="00FC2AB7" w:rsidP="00FC2AB7">
      <w:pPr>
        <w:ind w:firstLine="0"/>
        <w:rPr>
          <w:rFonts w:ascii="Arial" w:hAnsi="Arial" w:cs="Arial"/>
          <w:color w:val="FF0000"/>
        </w:rPr>
      </w:pPr>
    </w:p>
    <w:p w:rsidR="00FC2AB7" w:rsidRDefault="00FC2AB7" w:rsidP="00FC2AB7">
      <w:pPr>
        <w:tabs>
          <w:tab w:val="left" w:pos="3125"/>
        </w:tabs>
        <w:spacing w:line="240" w:lineRule="auto"/>
        <w:ind w:firstLine="0"/>
        <w:jc w:val="center"/>
        <w:rPr>
          <w:rFonts w:ascii="Arial" w:hAnsi="Arial" w:cs="Arial"/>
        </w:rPr>
      </w:pPr>
      <w:r>
        <w:rPr>
          <w:rFonts w:ascii="Arial" w:hAnsi="Arial" w:cs="Arial"/>
          <w:color w:val="FF0000"/>
        </w:rPr>
        <w:t>*</w:t>
      </w:r>
    </w:p>
    <w:p w:rsidR="00FC2AB7" w:rsidRPr="00FC2AB7" w:rsidRDefault="00FC2AB7" w:rsidP="00FC2AB7">
      <w:pPr>
        <w:pStyle w:val="assina"/>
        <w:shd w:val="clear" w:color="auto" w:fill="FFFFFF"/>
        <w:tabs>
          <w:tab w:val="left" w:pos="1134"/>
        </w:tabs>
        <w:spacing w:before="0" w:beforeAutospacing="0" w:after="0" w:afterAutospacing="0"/>
        <w:jc w:val="both"/>
        <w:rPr>
          <w:rFonts w:ascii="Arial" w:hAnsi="Arial" w:cs="Arial"/>
          <w:i/>
          <w:iCs/>
          <w:color w:val="162937"/>
          <w:sz w:val="22"/>
          <w:szCs w:val="22"/>
        </w:rPr>
      </w:pPr>
    </w:p>
    <w:p w:rsidR="00E759CB" w:rsidRDefault="00E759CB" w:rsidP="00FC2AB7">
      <w:pPr>
        <w:tabs>
          <w:tab w:val="left" w:pos="1134"/>
        </w:tabs>
        <w:ind w:hanging="6124"/>
      </w:pPr>
    </w:p>
    <w:p w:rsidR="00FC2AB7" w:rsidRDefault="00FC2AB7" w:rsidP="00FC2AB7">
      <w:pPr>
        <w:tabs>
          <w:tab w:val="left" w:pos="1134"/>
        </w:tabs>
        <w:ind w:hanging="6124"/>
      </w:pPr>
    </w:p>
    <w:p w:rsidR="00FC2AB7" w:rsidRDefault="00FC2AB7" w:rsidP="00FC2AB7">
      <w:pPr>
        <w:tabs>
          <w:tab w:val="left" w:pos="1134"/>
        </w:tabs>
        <w:ind w:hanging="6124"/>
      </w:pPr>
    </w:p>
    <w:sectPr w:rsidR="00FC2AB7" w:rsidSect="00ED66BB">
      <w:pgSz w:w="11906" w:h="16838"/>
      <w:pgMar w:top="1417" w:right="1701" w:bottom="1417"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B7"/>
    <w:rsid w:val="00013372"/>
    <w:rsid w:val="000F2C74"/>
    <w:rsid w:val="00102831"/>
    <w:rsid w:val="001D3620"/>
    <w:rsid w:val="002A72BE"/>
    <w:rsid w:val="0034794A"/>
    <w:rsid w:val="004970E1"/>
    <w:rsid w:val="004A1DA5"/>
    <w:rsid w:val="006F1CE0"/>
    <w:rsid w:val="00741C54"/>
    <w:rsid w:val="00782984"/>
    <w:rsid w:val="00845754"/>
    <w:rsid w:val="008705F4"/>
    <w:rsid w:val="008D2B91"/>
    <w:rsid w:val="00912739"/>
    <w:rsid w:val="0098418C"/>
    <w:rsid w:val="00985F2B"/>
    <w:rsid w:val="00A952C9"/>
    <w:rsid w:val="00AA1BEF"/>
    <w:rsid w:val="00C566A8"/>
    <w:rsid w:val="00C80953"/>
    <w:rsid w:val="00D0571B"/>
    <w:rsid w:val="00DD3A4D"/>
    <w:rsid w:val="00E759CB"/>
    <w:rsid w:val="00ED66BB"/>
    <w:rsid w:val="00FC2AB7"/>
    <w:rsid w:val="00FE2F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3A2FD-6E0A-413D-9E62-6CD7DA25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360" w:lineRule="auto"/>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dentifica">
    <w:name w:val="identifica"/>
    <w:basedOn w:val="Normal"/>
    <w:rsid w:val="00FC2AB7"/>
    <w:pPr>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paragraph" w:customStyle="1" w:styleId="ementa">
    <w:name w:val="ementa"/>
    <w:basedOn w:val="Normal"/>
    <w:rsid w:val="00FC2AB7"/>
    <w:pPr>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paragraph" w:customStyle="1" w:styleId="dou-paragraph">
    <w:name w:val="dou-paragraph"/>
    <w:basedOn w:val="Normal"/>
    <w:rsid w:val="00FC2AB7"/>
    <w:pPr>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C2AB7"/>
    <w:rPr>
      <w:b/>
      <w:bCs/>
    </w:rPr>
  </w:style>
  <w:style w:type="paragraph" w:customStyle="1" w:styleId="assinapr">
    <w:name w:val="assinapr"/>
    <w:basedOn w:val="Normal"/>
    <w:rsid w:val="00FC2AB7"/>
    <w:pPr>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paragraph" w:customStyle="1" w:styleId="assina">
    <w:name w:val="assina"/>
    <w:basedOn w:val="Normal"/>
    <w:rsid w:val="00FC2AB7"/>
    <w:pPr>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1028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11672">
      <w:bodyDiv w:val="1"/>
      <w:marLeft w:val="0"/>
      <w:marRight w:val="0"/>
      <w:marTop w:val="0"/>
      <w:marBottom w:val="0"/>
      <w:divBdr>
        <w:top w:val="none" w:sz="0" w:space="0" w:color="auto"/>
        <w:left w:val="none" w:sz="0" w:space="0" w:color="auto"/>
        <w:bottom w:val="none" w:sz="0" w:space="0" w:color="auto"/>
        <w:right w:val="none" w:sz="0" w:space="0" w:color="auto"/>
      </w:divBdr>
    </w:div>
    <w:div w:id="237906534">
      <w:bodyDiv w:val="1"/>
      <w:marLeft w:val="0"/>
      <w:marRight w:val="0"/>
      <w:marTop w:val="0"/>
      <w:marBottom w:val="0"/>
      <w:divBdr>
        <w:top w:val="none" w:sz="0" w:space="0" w:color="auto"/>
        <w:left w:val="none" w:sz="0" w:space="0" w:color="auto"/>
        <w:bottom w:val="none" w:sz="0" w:space="0" w:color="auto"/>
        <w:right w:val="none" w:sz="0" w:space="0" w:color="auto"/>
      </w:divBdr>
    </w:div>
    <w:div w:id="471600931">
      <w:bodyDiv w:val="1"/>
      <w:marLeft w:val="0"/>
      <w:marRight w:val="0"/>
      <w:marTop w:val="0"/>
      <w:marBottom w:val="0"/>
      <w:divBdr>
        <w:top w:val="none" w:sz="0" w:space="0" w:color="auto"/>
        <w:left w:val="none" w:sz="0" w:space="0" w:color="auto"/>
        <w:bottom w:val="none" w:sz="0" w:space="0" w:color="auto"/>
        <w:right w:val="none" w:sz="0" w:space="0" w:color="auto"/>
      </w:divBdr>
    </w:div>
    <w:div w:id="565847809">
      <w:bodyDiv w:val="1"/>
      <w:marLeft w:val="0"/>
      <w:marRight w:val="0"/>
      <w:marTop w:val="0"/>
      <w:marBottom w:val="0"/>
      <w:divBdr>
        <w:top w:val="none" w:sz="0" w:space="0" w:color="auto"/>
        <w:left w:val="none" w:sz="0" w:space="0" w:color="auto"/>
        <w:bottom w:val="none" w:sz="0" w:space="0" w:color="auto"/>
        <w:right w:val="none" w:sz="0" w:space="0" w:color="auto"/>
      </w:divBdr>
    </w:div>
    <w:div w:id="648872756">
      <w:bodyDiv w:val="1"/>
      <w:marLeft w:val="0"/>
      <w:marRight w:val="0"/>
      <w:marTop w:val="0"/>
      <w:marBottom w:val="0"/>
      <w:divBdr>
        <w:top w:val="none" w:sz="0" w:space="0" w:color="auto"/>
        <w:left w:val="none" w:sz="0" w:space="0" w:color="auto"/>
        <w:bottom w:val="none" w:sz="0" w:space="0" w:color="auto"/>
        <w:right w:val="none" w:sz="0" w:space="0" w:color="auto"/>
      </w:divBdr>
    </w:div>
    <w:div w:id="835221466">
      <w:bodyDiv w:val="1"/>
      <w:marLeft w:val="0"/>
      <w:marRight w:val="0"/>
      <w:marTop w:val="0"/>
      <w:marBottom w:val="0"/>
      <w:divBdr>
        <w:top w:val="none" w:sz="0" w:space="0" w:color="auto"/>
        <w:left w:val="none" w:sz="0" w:space="0" w:color="auto"/>
        <w:bottom w:val="none" w:sz="0" w:space="0" w:color="auto"/>
        <w:right w:val="none" w:sz="0" w:space="0" w:color="auto"/>
      </w:divBdr>
    </w:div>
    <w:div w:id="906962916">
      <w:bodyDiv w:val="1"/>
      <w:marLeft w:val="0"/>
      <w:marRight w:val="0"/>
      <w:marTop w:val="0"/>
      <w:marBottom w:val="0"/>
      <w:divBdr>
        <w:top w:val="none" w:sz="0" w:space="0" w:color="auto"/>
        <w:left w:val="none" w:sz="0" w:space="0" w:color="auto"/>
        <w:bottom w:val="none" w:sz="0" w:space="0" w:color="auto"/>
        <w:right w:val="none" w:sz="0" w:space="0" w:color="auto"/>
      </w:divBdr>
    </w:div>
    <w:div w:id="1020277678">
      <w:bodyDiv w:val="1"/>
      <w:marLeft w:val="0"/>
      <w:marRight w:val="0"/>
      <w:marTop w:val="0"/>
      <w:marBottom w:val="0"/>
      <w:divBdr>
        <w:top w:val="none" w:sz="0" w:space="0" w:color="auto"/>
        <w:left w:val="none" w:sz="0" w:space="0" w:color="auto"/>
        <w:bottom w:val="none" w:sz="0" w:space="0" w:color="auto"/>
        <w:right w:val="none" w:sz="0" w:space="0" w:color="auto"/>
      </w:divBdr>
    </w:div>
    <w:div w:id="1035959363">
      <w:bodyDiv w:val="1"/>
      <w:marLeft w:val="0"/>
      <w:marRight w:val="0"/>
      <w:marTop w:val="0"/>
      <w:marBottom w:val="0"/>
      <w:divBdr>
        <w:top w:val="none" w:sz="0" w:space="0" w:color="auto"/>
        <w:left w:val="none" w:sz="0" w:space="0" w:color="auto"/>
        <w:bottom w:val="none" w:sz="0" w:space="0" w:color="auto"/>
        <w:right w:val="none" w:sz="0" w:space="0" w:color="auto"/>
      </w:divBdr>
      <w:divsChild>
        <w:div w:id="1329748794">
          <w:marLeft w:val="0"/>
          <w:marRight w:val="0"/>
          <w:marTop w:val="0"/>
          <w:marBottom w:val="300"/>
          <w:divBdr>
            <w:top w:val="none" w:sz="0" w:space="0" w:color="auto"/>
            <w:left w:val="none" w:sz="0" w:space="0" w:color="auto"/>
            <w:bottom w:val="none" w:sz="0" w:space="0" w:color="auto"/>
            <w:right w:val="none" w:sz="0" w:space="0" w:color="auto"/>
          </w:divBdr>
        </w:div>
        <w:div w:id="1752847411">
          <w:marLeft w:val="0"/>
          <w:marRight w:val="0"/>
          <w:marTop w:val="300"/>
          <w:marBottom w:val="300"/>
          <w:divBdr>
            <w:top w:val="none" w:sz="0" w:space="0" w:color="auto"/>
            <w:left w:val="none" w:sz="0" w:space="0" w:color="auto"/>
            <w:bottom w:val="none" w:sz="0" w:space="0" w:color="auto"/>
            <w:right w:val="none" w:sz="0" w:space="0" w:color="auto"/>
          </w:divBdr>
        </w:div>
      </w:divsChild>
    </w:div>
    <w:div w:id="1048650195">
      <w:bodyDiv w:val="1"/>
      <w:marLeft w:val="0"/>
      <w:marRight w:val="0"/>
      <w:marTop w:val="0"/>
      <w:marBottom w:val="0"/>
      <w:divBdr>
        <w:top w:val="none" w:sz="0" w:space="0" w:color="auto"/>
        <w:left w:val="none" w:sz="0" w:space="0" w:color="auto"/>
        <w:bottom w:val="none" w:sz="0" w:space="0" w:color="auto"/>
        <w:right w:val="none" w:sz="0" w:space="0" w:color="auto"/>
      </w:divBdr>
    </w:div>
    <w:div w:id="1104419941">
      <w:bodyDiv w:val="1"/>
      <w:marLeft w:val="0"/>
      <w:marRight w:val="0"/>
      <w:marTop w:val="0"/>
      <w:marBottom w:val="0"/>
      <w:divBdr>
        <w:top w:val="none" w:sz="0" w:space="0" w:color="auto"/>
        <w:left w:val="none" w:sz="0" w:space="0" w:color="auto"/>
        <w:bottom w:val="none" w:sz="0" w:space="0" w:color="auto"/>
        <w:right w:val="none" w:sz="0" w:space="0" w:color="auto"/>
      </w:divBdr>
    </w:div>
    <w:div w:id="1125350265">
      <w:bodyDiv w:val="1"/>
      <w:marLeft w:val="0"/>
      <w:marRight w:val="0"/>
      <w:marTop w:val="0"/>
      <w:marBottom w:val="0"/>
      <w:divBdr>
        <w:top w:val="none" w:sz="0" w:space="0" w:color="auto"/>
        <w:left w:val="none" w:sz="0" w:space="0" w:color="auto"/>
        <w:bottom w:val="none" w:sz="0" w:space="0" w:color="auto"/>
        <w:right w:val="none" w:sz="0" w:space="0" w:color="auto"/>
      </w:divBdr>
    </w:div>
    <w:div w:id="1346438653">
      <w:bodyDiv w:val="1"/>
      <w:marLeft w:val="0"/>
      <w:marRight w:val="0"/>
      <w:marTop w:val="0"/>
      <w:marBottom w:val="0"/>
      <w:divBdr>
        <w:top w:val="none" w:sz="0" w:space="0" w:color="auto"/>
        <w:left w:val="none" w:sz="0" w:space="0" w:color="auto"/>
        <w:bottom w:val="none" w:sz="0" w:space="0" w:color="auto"/>
        <w:right w:val="none" w:sz="0" w:space="0" w:color="auto"/>
      </w:divBdr>
    </w:div>
    <w:div w:id="1571698518">
      <w:bodyDiv w:val="1"/>
      <w:marLeft w:val="0"/>
      <w:marRight w:val="0"/>
      <w:marTop w:val="0"/>
      <w:marBottom w:val="0"/>
      <w:divBdr>
        <w:top w:val="none" w:sz="0" w:space="0" w:color="auto"/>
        <w:left w:val="none" w:sz="0" w:space="0" w:color="auto"/>
        <w:bottom w:val="none" w:sz="0" w:space="0" w:color="auto"/>
        <w:right w:val="none" w:sz="0" w:space="0" w:color="auto"/>
      </w:divBdr>
    </w:div>
    <w:div w:id="1589343629">
      <w:bodyDiv w:val="1"/>
      <w:marLeft w:val="0"/>
      <w:marRight w:val="0"/>
      <w:marTop w:val="0"/>
      <w:marBottom w:val="0"/>
      <w:divBdr>
        <w:top w:val="none" w:sz="0" w:space="0" w:color="auto"/>
        <w:left w:val="none" w:sz="0" w:space="0" w:color="auto"/>
        <w:bottom w:val="none" w:sz="0" w:space="0" w:color="auto"/>
        <w:right w:val="none" w:sz="0" w:space="0" w:color="auto"/>
      </w:divBdr>
    </w:div>
    <w:div w:id="1608654884">
      <w:bodyDiv w:val="1"/>
      <w:marLeft w:val="0"/>
      <w:marRight w:val="0"/>
      <w:marTop w:val="0"/>
      <w:marBottom w:val="0"/>
      <w:divBdr>
        <w:top w:val="none" w:sz="0" w:space="0" w:color="auto"/>
        <w:left w:val="none" w:sz="0" w:space="0" w:color="auto"/>
        <w:bottom w:val="none" w:sz="0" w:space="0" w:color="auto"/>
        <w:right w:val="none" w:sz="0" w:space="0" w:color="auto"/>
      </w:divBdr>
    </w:div>
    <w:div w:id="1772894304">
      <w:bodyDiv w:val="1"/>
      <w:marLeft w:val="0"/>
      <w:marRight w:val="0"/>
      <w:marTop w:val="0"/>
      <w:marBottom w:val="0"/>
      <w:divBdr>
        <w:top w:val="none" w:sz="0" w:space="0" w:color="auto"/>
        <w:left w:val="none" w:sz="0" w:space="0" w:color="auto"/>
        <w:bottom w:val="none" w:sz="0" w:space="0" w:color="auto"/>
        <w:right w:val="none" w:sz="0" w:space="0" w:color="auto"/>
      </w:divBdr>
    </w:div>
    <w:div w:id="2070808282">
      <w:bodyDiv w:val="1"/>
      <w:marLeft w:val="0"/>
      <w:marRight w:val="0"/>
      <w:marTop w:val="0"/>
      <w:marBottom w:val="0"/>
      <w:divBdr>
        <w:top w:val="none" w:sz="0" w:space="0" w:color="auto"/>
        <w:left w:val="none" w:sz="0" w:space="0" w:color="auto"/>
        <w:bottom w:val="none" w:sz="0" w:space="0" w:color="auto"/>
        <w:right w:val="none" w:sz="0" w:space="0" w:color="auto"/>
      </w:divBdr>
    </w:div>
    <w:div w:id="214396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3057</Words>
  <Characters>16509</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Maria Ivania Amorim</cp:lastModifiedBy>
  <cp:revision>2</cp:revision>
  <dcterms:created xsi:type="dcterms:W3CDTF">2020-07-17T13:00:00Z</dcterms:created>
  <dcterms:modified xsi:type="dcterms:W3CDTF">2020-07-17T13:00:00Z</dcterms:modified>
</cp:coreProperties>
</file>