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E5A" w:rsidRPr="009F7120" w:rsidRDefault="001D1E5A" w:rsidP="002F2B7C">
      <w:pPr>
        <w:keepNext/>
        <w:widowControl w:val="0"/>
        <w:suppressAutoHyphens/>
        <w:spacing w:after="0" w:line="360" w:lineRule="auto"/>
        <w:jc w:val="center"/>
        <w:outlineLvl w:val="3"/>
        <w:rPr>
          <w:rFonts w:ascii="Arial" w:eastAsia="Arial Unicode MS" w:hAnsi="Arial" w:cs="Times New Roman"/>
          <w:b/>
          <w:sz w:val="24"/>
          <w:szCs w:val="24"/>
        </w:rPr>
      </w:pPr>
      <w:r w:rsidRPr="009F7120">
        <w:rPr>
          <w:rFonts w:ascii="Arial" w:eastAsia="Arial Unicode MS" w:hAnsi="Arial" w:cs="Times New Roman"/>
          <w:b/>
          <w:sz w:val="24"/>
          <w:szCs w:val="24"/>
        </w:rPr>
        <w:t>RELATÓRIO DE VIAGEM</w:t>
      </w:r>
    </w:p>
    <w:p w:rsidR="001D1E5A" w:rsidRPr="009F7120" w:rsidRDefault="001D1E5A" w:rsidP="002F2B7C">
      <w:pPr>
        <w:keepNext/>
        <w:widowControl w:val="0"/>
        <w:suppressAutoHyphens/>
        <w:spacing w:after="0" w:line="360" w:lineRule="auto"/>
        <w:outlineLvl w:val="3"/>
        <w:rPr>
          <w:rFonts w:ascii="Arial" w:eastAsia="Arial Unicode MS" w:hAnsi="Arial" w:cs="Times New Roman"/>
          <w:b/>
          <w:sz w:val="24"/>
          <w:szCs w:val="24"/>
        </w:rPr>
      </w:pPr>
    </w:p>
    <w:p w:rsidR="001D1E5A" w:rsidRPr="009F7120" w:rsidRDefault="00FF3539" w:rsidP="002F2B7C">
      <w:pPr>
        <w:keepNext/>
        <w:widowControl w:val="0"/>
        <w:suppressAutoHyphens/>
        <w:spacing w:after="0" w:line="360" w:lineRule="auto"/>
        <w:outlineLvl w:val="3"/>
        <w:rPr>
          <w:rFonts w:ascii="Arial" w:eastAsia="Arial Unicode MS" w:hAnsi="Arial" w:cs="Times New Roman"/>
          <w:b/>
          <w:sz w:val="24"/>
          <w:szCs w:val="24"/>
        </w:rPr>
      </w:pPr>
      <w:r w:rsidRPr="009F7120">
        <w:rPr>
          <w:rFonts w:ascii="Arial" w:eastAsia="Arial Unicode MS" w:hAnsi="Arial" w:cs="Times New Roman"/>
          <w:b/>
          <w:sz w:val="24"/>
          <w:szCs w:val="24"/>
        </w:rPr>
        <w:t>Período da viagem: 05</w:t>
      </w:r>
      <w:r w:rsidR="005E5CAC" w:rsidRPr="009F7120">
        <w:rPr>
          <w:rFonts w:ascii="Arial" w:eastAsia="Arial Unicode MS" w:hAnsi="Arial" w:cs="Times New Roman"/>
          <w:b/>
          <w:sz w:val="24"/>
          <w:szCs w:val="24"/>
        </w:rPr>
        <w:t xml:space="preserve"> a 07 de </w:t>
      </w:r>
      <w:r w:rsidR="00E66AE2" w:rsidRPr="009F7120">
        <w:rPr>
          <w:rFonts w:ascii="Arial" w:eastAsia="Arial Unicode MS" w:hAnsi="Arial" w:cs="Times New Roman"/>
          <w:b/>
          <w:sz w:val="24"/>
          <w:szCs w:val="24"/>
        </w:rPr>
        <w:t>dezembro</w:t>
      </w:r>
      <w:r w:rsidR="005E5CAC" w:rsidRPr="009F7120">
        <w:rPr>
          <w:rFonts w:ascii="Arial" w:eastAsia="Arial Unicode MS" w:hAnsi="Arial" w:cs="Times New Roman"/>
          <w:b/>
          <w:sz w:val="24"/>
          <w:szCs w:val="24"/>
        </w:rPr>
        <w:t xml:space="preserve"> </w:t>
      </w:r>
      <w:r w:rsidR="001D1E5A" w:rsidRPr="009F7120">
        <w:rPr>
          <w:rFonts w:ascii="Arial" w:eastAsia="Arial Unicode MS" w:hAnsi="Arial" w:cs="Times New Roman"/>
          <w:b/>
          <w:sz w:val="24"/>
          <w:szCs w:val="24"/>
        </w:rPr>
        <w:t>de 2018</w:t>
      </w:r>
    </w:p>
    <w:p w:rsidR="00E66AE2" w:rsidRPr="009F7120" w:rsidRDefault="00E66AE2" w:rsidP="002F2B7C">
      <w:pPr>
        <w:keepNext/>
        <w:widowControl w:val="0"/>
        <w:suppressAutoHyphens/>
        <w:spacing w:after="0" w:line="360" w:lineRule="auto"/>
        <w:outlineLvl w:val="3"/>
        <w:rPr>
          <w:rFonts w:ascii="Arial" w:eastAsia="Arial Unicode MS" w:hAnsi="Arial" w:cs="Times New Roman"/>
          <w:b/>
          <w:sz w:val="24"/>
          <w:szCs w:val="24"/>
        </w:rPr>
      </w:pPr>
    </w:p>
    <w:p w:rsidR="001D1E5A" w:rsidRPr="009F7120" w:rsidRDefault="001D1E5A" w:rsidP="002F2B7C">
      <w:pPr>
        <w:suppressAutoHyphens/>
        <w:spacing w:after="0" w:line="360" w:lineRule="auto"/>
        <w:rPr>
          <w:rFonts w:ascii="Arial" w:eastAsia="Times New Roman" w:hAnsi="Arial" w:cs="Times New Roman"/>
          <w:b/>
          <w:sz w:val="24"/>
          <w:szCs w:val="24"/>
        </w:rPr>
      </w:pPr>
      <w:r w:rsidRPr="009F7120">
        <w:rPr>
          <w:rFonts w:ascii="Arial" w:eastAsia="Times New Roman" w:hAnsi="Arial" w:cs="Times New Roman"/>
          <w:b/>
          <w:sz w:val="24"/>
          <w:szCs w:val="24"/>
        </w:rPr>
        <w:t>Cidade de Origem da viagem: Brasília (DF)</w:t>
      </w:r>
    </w:p>
    <w:p w:rsidR="00E66AE2" w:rsidRPr="009F7120" w:rsidRDefault="00E66AE2" w:rsidP="002F2B7C">
      <w:pPr>
        <w:suppressAutoHyphens/>
        <w:spacing w:after="0" w:line="360" w:lineRule="auto"/>
        <w:rPr>
          <w:rFonts w:ascii="Arial" w:eastAsia="Times New Roman" w:hAnsi="Arial" w:cs="Times New Roman"/>
          <w:b/>
          <w:sz w:val="24"/>
          <w:szCs w:val="24"/>
        </w:rPr>
      </w:pPr>
    </w:p>
    <w:p w:rsidR="001D1E5A" w:rsidRPr="009F7120" w:rsidRDefault="001D1E5A" w:rsidP="002F2B7C">
      <w:pPr>
        <w:suppressAutoHyphens/>
        <w:spacing w:after="0" w:line="360" w:lineRule="auto"/>
        <w:rPr>
          <w:rFonts w:ascii="Arial" w:eastAsia="Times New Roman" w:hAnsi="Arial" w:cs="Times New Roman"/>
          <w:b/>
          <w:sz w:val="24"/>
          <w:szCs w:val="24"/>
        </w:rPr>
      </w:pPr>
      <w:r w:rsidRPr="009F7120">
        <w:rPr>
          <w:rFonts w:ascii="Arial" w:eastAsia="Times New Roman" w:hAnsi="Arial" w:cs="Times New Roman"/>
          <w:b/>
          <w:sz w:val="24"/>
          <w:szCs w:val="24"/>
        </w:rPr>
        <w:t xml:space="preserve">Cidade de Destino da viagem: </w:t>
      </w:r>
      <w:r w:rsidR="005E5CAC" w:rsidRPr="009F7120">
        <w:rPr>
          <w:rFonts w:ascii="Arial" w:eastAsia="Times New Roman" w:hAnsi="Arial" w:cs="Times New Roman"/>
          <w:b/>
          <w:sz w:val="24"/>
          <w:szCs w:val="24"/>
        </w:rPr>
        <w:t xml:space="preserve">São Luiz Maranhão </w:t>
      </w:r>
      <w:r w:rsidRPr="009F7120">
        <w:rPr>
          <w:rFonts w:ascii="Arial" w:eastAsia="Times New Roman" w:hAnsi="Arial" w:cs="Times New Roman"/>
          <w:b/>
          <w:sz w:val="24"/>
          <w:szCs w:val="24"/>
        </w:rPr>
        <w:t>(</w:t>
      </w:r>
      <w:r w:rsidR="005E5CAC" w:rsidRPr="009F7120">
        <w:rPr>
          <w:rFonts w:ascii="Arial" w:eastAsia="Times New Roman" w:hAnsi="Arial" w:cs="Times New Roman"/>
          <w:b/>
          <w:sz w:val="24"/>
          <w:szCs w:val="24"/>
        </w:rPr>
        <w:t>M</w:t>
      </w:r>
      <w:r w:rsidRPr="009F7120">
        <w:rPr>
          <w:rFonts w:ascii="Arial" w:eastAsia="Times New Roman" w:hAnsi="Arial" w:cs="Times New Roman"/>
          <w:b/>
          <w:sz w:val="24"/>
          <w:szCs w:val="24"/>
        </w:rPr>
        <w:t>A)</w:t>
      </w:r>
    </w:p>
    <w:p w:rsidR="00E66AE2" w:rsidRPr="009F7120" w:rsidRDefault="00E66AE2" w:rsidP="002F2B7C">
      <w:pPr>
        <w:suppressAutoHyphens/>
        <w:spacing w:after="0" w:line="360" w:lineRule="auto"/>
        <w:rPr>
          <w:rFonts w:ascii="Arial" w:eastAsia="Times New Roman" w:hAnsi="Arial" w:cs="Times New Roman"/>
          <w:b/>
          <w:sz w:val="24"/>
          <w:szCs w:val="24"/>
        </w:rPr>
      </w:pPr>
    </w:p>
    <w:p w:rsidR="00E66AE2" w:rsidRPr="009F7120" w:rsidRDefault="00E66AE2" w:rsidP="002F2B7C">
      <w:pPr>
        <w:suppressAutoHyphens/>
        <w:spacing w:after="0" w:line="360" w:lineRule="auto"/>
        <w:rPr>
          <w:rFonts w:ascii="Arial" w:eastAsia="Times New Roman" w:hAnsi="Arial" w:cs="Times New Roman"/>
          <w:b/>
          <w:sz w:val="24"/>
          <w:szCs w:val="24"/>
        </w:rPr>
      </w:pPr>
    </w:p>
    <w:p w:rsidR="00E66AE2" w:rsidRPr="009F7120" w:rsidRDefault="00E66AE2" w:rsidP="002F2B7C">
      <w:pPr>
        <w:spacing w:after="100" w:afterAutospacing="1" w:line="360" w:lineRule="auto"/>
        <w:jc w:val="center"/>
        <w:rPr>
          <w:rFonts w:ascii="Arial" w:hAnsi="Arial" w:cs="Arial"/>
          <w:i/>
          <w:sz w:val="24"/>
          <w:szCs w:val="24"/>
        </w:rPr>
      </w:pPr>
      <w:r w:rsidRPr="009F7120">
        <w:rPr>
          <w:rFonts w:ascii="Arial" w:hAnsi="Arial" w:cs="Arial"/>
          <w:i/>
          <w:sz w:val="24"/>
          <w:szCs w:val="24"/>
        </w:rPr>
        <w:t xml:space="preserve">Diligência </w:t>
      </w:r>
      <w:proofErr w:type="gramStart"/>
      <w:r w:rsidRPr="009F7120">
        <w:rPr>
          <w:rFonts w:ascii="Arial" w:hAnsi="Arial" w:cs="Arial"/>
          <w:i/>
          <w:sz w:val="24"/>
          <w:szCs w:val="24"/>
        </w:rPr>
        <w:t>à</w:t>
      </w:r>
      <w:proofErr w:type="gramEnd"/>
      <w:r w:rsidRPr="009F7120">
        <w:rPr>
          <w:rFonts w:ascii="Arial" w:hAnsi="Arial" w:cs="Arial"/>
          <w:i/>
          <w:sz w:val="24"/>
          <w:szCs w:val="24"/>
        </w:rPr>
        <w:t xml:space="preserve"> São Luiz e Alcântara – MA </w:t>
      </w:r>
      <w:r w:rsidR="009F7120" w:rsidRPr="009F7120">
        <w:rPr>
          <w:rFonts w:ascii="Arial" w:hAnsi="Arial" w:cs="Arial"/>
          <w:i/>
          <w:sz w:val="24"/>
          <w:szCs w:val="24"/>
        </w:rPr>
        <w:t>para averiguar in loco as comunidades quilombolas com territórios ameaçados pela eminência de um acordo de exploração comercial do Centro de Lançamento de Alcântara (CLA) pelo governo dos Estados Unidos.</w:t>
      </w:r>
      <w:r w:rsidRPr="009F7120">
        <w:rPr>
          <w:rFonts w:ascii="Arial" w:hAnsi="Arial" w:cs="Arial"/>
          <w:i/>
          <w:sz w:val="24"/>
          <w:szCs w:val="24"/>
        </w:rPr>
        <w:t xml:space="preserve">   </w:t>
      </w:r>
    </w:p>
    <w:p w:rsidR="00E66AE2" w:rsidRPr="009F7120" w:rsidRDefault="00E66AE2" w:rsidP="002F2B7C">
      <w:pPr>
        <w:suppressAutoHyphens/>
        <w:spacing w:after="0" w:line="360" w:lineRule="auto"/>
        <w:rPr>
          <w:rFonts w:ascii="Arial" w:eastAsia="Times New Roman" w:hAnsi="Arial" w:cs="Times New Roman"/>
          <w:b/>
          <w:sz w:val="24"/>
          <w:szCs w:val="24"/>
        </w:rPr>
      </w:pPr>
    </w:p>
    <w:p w:rsidR="008C3465" w:rsidRPr="009F7120" w:rsidRDefault="008C3465" w:rsidP="002F2B7C">
      <w:pPr>
        <w:suppressAutoHyphens/>
        <w:spacing w:after="0" w:line="360" w:lineRule="auto"/>
        <w:rPr>
          <w:rFonts w:ascii="Arial" w:eastAsia="Times New Roman" w:hAnsi="Arial" w:cs="Times New Roman"/>
          <w:b/>
          <w:sz w:val="24"/>
          <w:szCs w:val="24"/>
        </w:rPr>
      </w:pPr>
      <w:bookmarkStart w:id="0" w:name="_GoBack"/>
      <w:bookmarkEnd w:id="0"/>
    </w:p>
    <w:p w:rsidR="008C3465" w:rsidRPr="009F7120" w:rsidRDefault="008C3465" w:rsidP="002F2B7C">
      <w:pPr>
        <w:spacing w:after="100" w:afterAutospacing="1" w:line="360" w:lineRule="auto"/>
        <w:ind w:firstLine="1134"/>
        <w:jc w:val="both"/>
        <w:rPr>
          <w:rFonts w:ascii="Arial" w:hAnsi="Arial" w:cs="Arial"/>
          <w:b/>
          <w:sz w:val="24"/>
          <w:szCs w:val="24"/>
        </w:rPr>
      </w:pPr>
      <w:r w:rsidRPr="009F7120">
        <w:rPr>
          <w:rFonts w:ascii="Arial" w:hAnsi="Arial" w:cs="Arial"/>
          <w:b/>
          <w:sz w:val="24"/>
          <w:szCs w:val="24"/>
        </w:rPr>
        <w:t>Resumo:</w:t>
      </w:r>
    </w:p>
    <w:p w:rsidR="00E66AE2" w:rsidRPr="009F7120" w:rsidRDefault="008C3465" w:rsidP="002F2B7C">
      <w:pPr>
        <w:spacing w:after="100" w:afterAutospacing="1" w:line="360" w:lineRule="auto"/>
        <w:ind w:firstLine="1134"/>
        <w:jc w:val="both"/>
        <w:rPr>
          <w:rFonts w:ascii="Arial" w:hAnsi="Arial" w:cs="Arial"/>
          <w:sz w:val="24"/>
          <w:szCs w:val="24"/>
        </w:rPr>
      </w:pPr>
      <w:r w:rsidRPr="009F7120">
        <w:rPr>
          <w:rFonts w:ascii="Arial" w:hAnsi="Arial" w:cs="Arial"/>
          <w:sz w:val="24"/>
          <w:szCs w:val="24"/>
        </w:rPr>
        <w:t xml:space="preserve">Com o objetivo de verificar </w:t>
      </w:r>
      <w:r w:rsidRPr="009F7120">
        <w:rPr>
          <w:rFonts w:ascii="Arial" w:hAnsi="Arial" w:cs="Arial"/>
          <w:i/>
          <w:sz w:val="24"/>
          <w:szCs w:val="24"/>
        </w:rPr>
        <w:t>in loco</w:t>
      </w:r>
      <w:r w:rsidRPr="009F7120">
        <w:rPr>
          <w:rFonts w:ascii="Arial" w:hAnsi="Arial" w:cs="Arial"/>
          <w:sz w:val="24"/>
          <w:szCs w:val="24"/>
        </w:rPr>
        <w:t xml:space="preserve"> a situação das comunidades quilombolas, que residem em Alcântara - MA, parte delas compondo pequenos vilarejos ameaçados pela expansão da Base de Alcântara, uma comitiva da CDHM viajou em diligência à reg</w:t>
      </w:r>
      <w:r w:rsidR="0020377D">
        <w:rPr>
          <w:rFonts w:ascii="Arial" w:hAnsi="Arial" w:cs="Arial"/>
          <w:sz w:val="24"/>
          <w:szCs w:val="24"/>
        </w:rPr>
        <w:t>ião. A comitiva foi formada por min</w:t>
      </w:r>
      <w:r w:rsidRPr="009F7120">
        <w:rPr>
          <w:rFonts w:ascii="Arial" w:hAnsi="Arial" w:cs="Arial"/>
          <w:sz w:val="24"/>
          <w:szCs w:val="24"/>
        </w:rPr>
        <w:t xml:space="preserve"> membro titular da Comissão de Direitos Humanos e Minorias – </w:t>
      </w:r>
      <w:r w:rsidRPr="007311F5">
        <w:rPr>
          <w:rFonts w:ascii="Arial" w:hAnsi="Arial" w:cs="Arial"/>
          <w:b/>
          <w:sz w:val="24"/>
          <w:szCs w:val="24"/>
        </w:rPr>
        <w:t>Deputado Fed</w:t>
      </w:r>
      <w:r w:rsidR="00C84160" w:rsidRPr="007311F5">
        <w:rPr>
          <w:rFonts w:ascii="Arial" w:hAnsi="Arial" w:cs="Arial"/>
          <w:b/>
          <w:sz w:val="24"/>
          <w:szCs w:val="24"/>
        </w:rPr>
        <w:t>eral Nilto</w:t>
      </w:r>
      <w:r w:rsidRPr="007311F5">
        <w:rPr>
          <w:rFonts w:ascii="Arial" w:hAnsi="Arial" w:cs="Arial"/>
          <w:b/>
          <w:sz w:val="24"/>
          <w:szCs w:val="24"/>
        </w:rPr>
        <w:t xml:space="preserve"> Tatto (PT/SP)</w:t>
      </w:r>
      <w:r w:rsidRPr="009F7120">
        <w:rPr>
          <w:rFonts w:ascii="Arial" w:hAnsi="Arial" w:cs="Arial"/>
          <w:sz w:val="24"/>
          <w:szCs w:val="24"/>
        </w:rPr>
        <w:t xml:space="preserve"> – e o assessor técnico da Comissão de Direitos Humanos e Minorias – Leonardo Daniel Santos </w:t>
      </w:r>
      <w:proofErr w:type="spellStart"/>
      <w:r w:rsidRPr="009F7120">
        <w:rPr>
          <w:rFonts w:ascii="Arial" w:hAnsi="Arial" w:cs="Arial"/>
          <w:sz w:val="24"/>
          <w:szCs w:val="24"/>
        </w:rPr>
        <w:t>Formentini</w:t>
      </w:r>
      <w:proofErr w:type="spellEnd"/>
      <w:r w:rsidRPr="009F7120">
        <w:rPr>
          <w:rFonts w:ascii="Arial" w:hAnsi="Arial" w:cs="Arial"/>
          <w:sz w:val="24"/>
          <w:szCs w:val="24"/>
        </w:rPr>
        <w:t xml:space="preserve">. Além do parlamentar compareceram a diligência o Secretário </w:t>
      </w:r>
      <w:r w:rsidR="00E66AE2" w:rsidRPr="009F7120">
        <w:rPr>
          <w:rFonts w:ascii="Arial" w:hAnsi="Arial" w:cs="Arial"/>
          <w:sz w:val="24"/>
          <w:szCs w:val="24"/>
        </w:rPr>
        <w:t>de Estado dos Direitos Humanos e Participação Popular, Francisco Gonçalves</w:t>
      </w:r>
      <w:r w:rsidRPr="009F7120">
        <w:rPr>
          <w:rFonts w:ascii="Arial" w:hAnsi="Arial" w:cs="Arial"/>
          <w:sz w:val="24"/>
          <w:szCs w:val="24"/>
        </w:rPr>
        <w:t xml:space="preserve">. </w:t>
      </w:r>
      <w:r w:rsidR="00E66AE2" w:rsidRPr="009F7120">
        <w:rPr>
          <w:rFonts w:ascii="Arial" w:hAnsi="Arial" w:cs="Arial"/>
          <w:sz w:val="24"/>
          <w:szCs w:val="24"/>
        </w:rPr>
        <w:t xml:space="preserve">Visitamos </w:t>
      </w:r>
      <w:r w:rsidRPr="009F7120">
        <w:rPr>
          <w:rFonts w:ascii="Arial" w:hAnsi="Arial" w:cs="Arial"/>
          <w:sz w:val="24"/>
          <w:szCs w:val="24"/>
        </w:rPr>
        <w:t>a área, ouvi</w:t>
      </w:r>
      <w:r w:rsidR="00E66AE2" w:rsidRPr="009F7120">
        <w:rPr>
          <w:rFonts w:ascii="Arial" w:hAnsi="Arial" w:cs="Arial"/>
          <w:sz w:val="24"/>
          <w:szCs w:val="24"/>
        </w:rPr>
        <w:t>mos os moradores, e verificamos</w:t>
      </w:r>
      <w:r w:rsidRPr="009F7120">
        <w:rPr>
          <w:rFonts w:ascii="Arial" w:hAnsi="Arial" w:cs="Arial"/>
          <w:sz w:val="24"/>
          <w:szCs w:val="24"/>
        </w:rPr>
        <w:t xml:space="preserve"> as condições da produção agrícola e pecuária. No retorno, o </w:t>
      </w:r>
      <w:r w:rsidR="00E66AE2" w:rsidRPr="009F7120">
        <w:rPr>
          <w:rFonts w:ascii="Arial" w:hAnsi="Arial" w:cs="Arial"/>
          <w:sz w:val="24"/>
          <w:szCs w:val="24"/>
        </w:rPr>
        <w:t>membro titular da Comissão de Direitos Humanos e Minorias,</w:t>
      </w:r>
      <w:r w:rsidR="00C84160">
        <w:rPr>
          <w:rFonts w:ascii="Arial" w:hAnsi="Arial" w:cs="Arial"/>
          <w:sz w:val="24"/>
          <w:szCs w:val="24"/>
        </w:rPr>
        <w:t xml:space="preserve"> eu Deputado Nilto</w:t>
      </w:r>
      <w:r w:rsidR="00E66AE2" w:rsidRPr="009F7120">
        <w:rPr>
          <w:rFonts w:ascii="Arial" w:hAnsi="Arial" w:cs="Arial"/>
          <w:sz w:val="24"/>
          <w:szCs w:val="24"/>
        </w:rPr>
        <w:t xml:space="preserve"> Tatto, </w:t>
      </w:r>
      <w:r w:rsidR="00C84160">
        <w:rPr>
          <w:rFonts w:ascii="Arial" w:hAnsi="Arial" w:cs="Arial"/>
          <w:sz w:val="24"/>
          <w:szCs w:val="24"/>
        </w:rPr>
        <w:t>fiz</w:t>
      </w:r>
      <w:r w:rsidRPr="009F7120">
        <w:rPr>
          <w:rFonts w:ascii="Arial" w:hAnsi="Arial" w:cs="Arial"/>
          <w:sz w:val="24"/>
          <w:szCs w:val="24"/>
        </w:rPr>
        <w:t xml:space="preserve"> as recomendações descritas neste relatório.</w:t>
      </w:r>
    </w:p>
    <w:p w:rsidR="00E66AE2" w:rsidRPr="009F7120" w:rsidRDefault="00E66AE2" w:rsidP="002F2B7C">
      <w:pPr>
        <w:spacing w:after="100" w:afterAutospacing="1" w:line="360" w:lineRule="auto"/>
        <w:jc w:val="center"/>
        <w:rPr>
          <w:rFonts w:ascii="Arial" w:hAnsi="Arial" w:cs="Arial"/>
          <w:sz w:val="24"/>
          <w:szCs w:val="24"/>
        </w:rPr>
      </w:pPr>
      <w:r w:rsidRPr="009F7120">
        <w:rPr>
          <w:rFonts w:ascii="Arial" w:hAnsi="Arial" w:cs="Arial"/>
          <w:b/>
          <w:sz w:val="24"/>
          <w:szCs w:val="24"/>
        </w:rPr>
        <w:t>CONTEXTO</w:t>
      </w:r>
    </w:p>
    <w:p w:rsidR="00E66AE2" w:rsidRPr="009F7120" w:rsidRDefault="0072799F" w:rsidP="002F2B7C">
      <w:pPr>
        <w:spacing w:line="360" w:lineRule="auto"/>
        <w:jc w:val="both"/>
        <w:rPr>
          <w:rFonts w:ascii="Arial" w:hAnsi="Arial" w:cs="Arial"/>
          <w:sz w:val="24"/>
          <w:szCs w:val="24"/>
        </w:rPr>
      </w:pPr>
      <w:r w:rsidRPr="009F7120">
        <w:rPr>
          <w:rFonts w:ascii="Arial" w:hAnsi="Arial" w:cs="Arial"/>
          <w:sz w:val="24"/>
          <w:szCs w:val="24"/>
        </w:rPr>
        <w:tab/>
      </w:r>
      <w:r w:rsidRPr="009F7120">
        <w:rPr>
          <w:rFonts w:ascii="Arial" w:hAnsi="Arial" w:cs="Arial"/>
          <w:sz w:val="24"/>
          <w:szCs w:val="24"/>
        </w:rPr>
        <w:tab/>
      </w:r>
      <w:r w:rsidR="00E66AE2" w:rsidRPr="009F7120">
        <w:rPr>
          <w:rFonts w:ascii="Arial" w:hAnsi="Arial" w:cs="Arial"/>
          <w:sz w:val="24"/>
          <w:szCs w:val="24"/>
        </w:rPr>
        <w:t xml:space="preserve">Conforme Relatório Técnico de Identificação e Delimitação (RTID), o Território Quilombola de Alcântara possui 78.105,3466 hectares, </w:t>
      </w:r>
      <w:r w:rsidR="00E66AE2" w:rsidRPr="009F7120">
        <w:rPr>
          <w:rFonts w:ascii="Arial" w:hAnsi="Arial" w:cs="Arial"/>
          <w:sz w:val="24"/>
          <w:szCs w:val="24"/>
        </w:rPr>
        <w:lastRenderedPageBreak/>
        <w:t xml:space="preserve">localizados no município de Alcântara, Maranhão. É composto por 150 comunidades quilombolas, certificadas pela Fundação Cultural Palmares e, segundo dados do INCRA, estima-se a presença de 3.350 famílias. </w:t>
      </w:r>
    </w:p>
    <w:p w:rsidR="00E66AE2" w:rsidRPr="009F7120" w:rsidRDefault="00E66AE2" w:rsidP="002F2B7C">
      <w:pPr>
        <w:spacing w:line="360" w:lineRule="auto"/>
        <w:jc w:val="both"/>
        <w:rPr>
          <w:rFonts w:ascii="Arial" w:hAnsi="Arial" w:cs="Arial"/>
          <w:sz w:val="24"/>
          <w:szCs w:val="24"/>
        </w:rPr>
      </w:pPr>
      <w:r w:rsidRPr="009F7120">
        <w:rPr>
          <w:rFonts w:ascii="Arial" w:hAnsi="Arial" w:cs="Arial"/>
          <w:sz w:val="24"/>
          <w:szCs w:val="24"/>
        </w:rPr>
        <w:tab/>
      </w:r>
      <w:r w:rsidRPr="009F7120">
        <w:rPr>
          <w:rFonts w:ascii="Arial" w:hAnsi="Arial" w:cs="Arial"/>
          <w:sz w:val="24"/>
          <w:szCs w:val="24"/>
        </w:rPr>
        <w:tab/>
        <w:t>No município de Alcântara, 5.369 famílias encontram-se inscritas no Cadastro Único para Programas Sociais (</w:t>
      </w:r>
      <w:proofErr w:type="spellStart"/>
      <w:r w:rsidRPr="009F7120">
        <w:rPr>
          <w:rFonts w:ascii="Arial" w:hAnsi="Arial" w:cs="Arial"/>
          <w:sz w:val="24"/>
          <w:szCs w:val="24"/>
        </w:rPr>
        <w:t>Cadúnico</w:t>
      </w:r>
      <w:proofErr w:type="spellEnd"/>
      <w:r w:rsidRPr="009F7120">
        <w:rPr>
          <w:rFonts w:ascii="Arial" w:hAnsi="Arial" w:cs="Arial"/>
          <w:sz w:val="24"/>
          <w:szCs w:val="24"/>
        </w:rPr>
        <w:t xml:space="preserve">), correspondendo a 12.713 pessoas. Este montante representa 73,80% das famílias recenseadas no município de Alcântara - o que demonstra o baixo nível de desenvolvimento socioeconômico do município. </w:t>
      </w:r>
    </w:p>
    <w:p w:rsidR="00E66AE2" w:rsidRPr="009F7120" w:rsidRDefault="00E66AE2" w:rsidP="002F2B7C">
      <w:pPr>
        <w:spacing w:line="360" w:lineRule="auto"/>
        <w:jc w:val="both"/>
        <w:rPr>
          <w:rFonts w:ascii="Arial" w:hAnsi="Arial" w:cs="Arial"/>
          <w:sz w:val="24"/>
          <w:szCs w:val="24"/>
        </w:rPr>
      </w:pPr>
      <w:r w:rsidRPr="009F7120">
        <w:rPr>
          <w:rFonts w:ascii="Arial" w:hAnsi="Arial" w:cs="Arial"/>
          <w:sz w:val="24"/>
          <w:szCs w:val="24"/>
        </w:rPr>
        <w:tab/>
      </w:r>
      <w:r w:rsidRPr="009F7120">
        <w:rPr>
          <w:rFonts w:ascii="Arial" w:hAnsi="Arial" w:cs="Arial"/>
          <w:sz w:val="24"/>
          <w:szCs w:val="24"/>
        </w:rPr>
        <w:tab/>
        <w:t xml:space="preserve">Dos </w:t>
      </w:r>
      <w:proofErr w:type="gramStart"/>
      <w:r w:rsidRPr="009F7120">
        <w:rPr>
          <w:rFonts w:ascii="Arial" w:hAnsi="Arial" w:cs="Arial"/>
          <w:sz w:val="24"/>
          <w:szCs w:val="24"/>
        </w:rPr>
        <w:t>28 total</w:t>
      </w:r>
      <w:proofErr w:type="gramEnd"/>
      <w:r w:rsidRPr="009F7120">
        <w:rPr>
          <w:rFonts w:ascii="Arial" w:hAnsi="Arial" w:cs="Arial"/>
          <w:sz w:val="24"/>
          <w:szCs w:val="24"/>
        </w:rPr>
        <w:t xml:space="preserve"> de quilombolas inscritos no </w:t>
      </w:r>
      <w:proofErr w:type="spellStart"/>
      <w:r w:rsidRPr="009F7120">
        <w:rPr>
          <w:rFonts w:ascii="Arial" w:hAnsi="Arial" w:cs="Arial"/>
          <w:sz w:val="24"/>
          <w:szCs w:val="24"/>
        </w:rPr>
        <w:t>Cadúnico</w:t>
      </w:r>
      <w:proofErr w:type="spellEnd"/>
      <w:r w:rsidRPr="009F7120">
        <w:rPr>
          <w:rFonts w:ascii="Arial" w:hAnsi="Arial" w:cs="Arial"/>
          <w:sz w:val="24"/>
          <w:szCs w:val="24"/>
        </w:rPr>
        <w:t xml:space="preserve">, 90,15% são considerados em situação de extrema pobreza, ou seja, com renda mensal de até R$85,00 (oitenta e cinco reais) por pessoa. No que se refere à história de Alcântara, o antropólogo e pesquisador Alfredo Wagner </w:t>
      </w:r>
      <w:proofErr w:type="spellStart"/>
      <w:r w:rsidRPr="009F7120">
        <w:rPr>
          <w:rFonts w:ascii="Arial" w:hAnsi="Arial" w:cs="Arial"/>
          <w:sz w:val="24"/>
          <w:szCs w:val="24"/>
        </w:rPr>
        <w:t>Berno</w:t>
      </w:r>
      <w:proofErr w:type="spellEnd"/>
      <w:r w:rsidRPr="009F7120">
        <w:rPr>
          <w:rFonts w:ascii="Arial" w:hAnsi="Arial" w:cs="Arial"/>
          <w:sz w:val="24"/>
          <w:szCs w:val="24"/>
        </w:rPr>
        <w:t xml:space="preserve"> de Almeida diz que os registros administrativos concernentes aos quilombos da região datam do início do século XVIII:</w:t>
      </w:r>
    </w:p>
    <w:p w:rsidR="00E66AE2" w:rsidRPr="009F7120" w:rsidRDefault="00E66AE2" w:rsidP="002F2B7C">
      <w:pPr>
        <w:spacing w:line="360" w:lineRule="auto"/>
        <w:ind w:left="2268"/>
        <w:jc w:val="both"/>
        <w:rPr>
          <w:rFonts w:ascii="Arial" w:hAnsi="Arial" w:cs="Arial"/>
          <w:b/>
          <w:i/>
          <w:sz w:val="24"/>
          <w:szCs w:val="24"/>
        </w:rPr>
      </w:pPr>
      <w:r w:rsidRPr="009F7120">
        <w:rPr>
          <w:rFonts w:ascii="Arial" w:hAnsi="Arial" w:cs="Arial"/>
          <w:b/>
          <w:i/>
          <w:sz w:val="24"/>
          <w:szCs w:val="24"/>
        </w:rPr>
        <w:t xml:space="preserve">O Instituto das Cartas Régias não resistiu, em Alcântara, a essa trajetória ascendente dos grupos sociais estruturados em povoados que para além de uma simples figura jurídica de apossamento, consolidaram direitos étnicos através da emergência das territorialidades específicas, tais como as intituladas terras de preto, terras de caboclo e terras de santo. (...) a despeito de qualquer tipo de reconhecimento formal, consolidaram efetivamente diferentes domínios com seus respectivos planos organizativos de relações sociais, cada um </w:t>
      </w:r>
      <w:proofErr w:type="gramStart"/>
      <w:r w:rsidRPr="009F7120">
        <w:rPr>
          <w:rFonts w:ascii="Arial" w:hAnsi="Arial" w:cs="Arial"/>
          <w:b/>
          <w:i/>
          <w:sz w:val="24"/>
          <w:szCs w:val="24"/>
        </w:rPr>
        <w:t>deles</w:t>
      </w:r>
      <w:proofErr w:type="gramEnd"/>
      <w:r w:rsidRPr="009F7120">
        <w:rPr>
          <w:rFonts w:ascii="Arial" w:hAnsi="Arial" w:cs="Arial"/>
          <w:b/>
          <w:i/>
          <w:sz w:val="24"/>
          <w:szCs w:val="24"/>
        </w:rPr>
        <w:t xml:space="preserve"> </w:t>
      </w:r>
      <w:proofErr w:type="gramStart"/>
      <w:r w:rsidRPr="009F7120">
        <w:rPr>
          <w:rFonts w:ascii="Arial" w:hAnsi="Arial" w:cs="Arial"/>
          <w:b/>
          <w:i/>
          <w:sz w:val="24"/>
          <w:szCs w:val="24"/>
        </w:rPr>
        <w:t>agrupando</w:t>
      </w:r>
      <w:proofErr w:type="gramEnd"/>
      <w:r w:rsidRPr="009F7120">
        <w:rPr>
          <w:rFonts w:ascii="Arial" w:hAnsi="Arial" w:cs="Arial"/>
          <w:b/>
          <w:i/>
          <w:sz w:val="24"/>
          <w:szCs w:val="24"/>
        </w:rPr>
        <w:t xml:space="preserve"> inúmeros povoados, designados localmente, consoante o contexto, como terras de santo, terras da santa, terras de santíssimo, terras de santíssima, terras santistas, terras de caboclo e terras de preto, compreendendo as antigas terras de instituições pias e religiosas, as antigas sesmarias e posses centenárias (ALMEIDA, 2006: 49-52, in LOPES, 2016: 36, grifos dos autores).</w:t>
      </w:r>
    </w:p>
    <w:p w:rsidR="00E66AE2" w:rsidRPr="009F7120" w:rsidRDefault="00E66AE2" w:rsidP="002F2B7C">
      <w:pPr>
        <w:spacing w:line="360" w:lineRule="auto"/>
        <w:ind w:left="2268"/>
        <w:jc w:val="both"/>
        <w:rPr>
          <w:rFonts w:ascii="Arial" w:hAnsi="Arial" w:cs="Arial"/>
          <w:b/>
          <w:i/>
          <w:sz w:val="24"/>
          <w:szCs w:val="24"/>
        </w:rPr>
      </w:pPr>
    </w:p>
    <w:p w:rsidR="00E66AE2" w:rsidRPr="009F7120" w:rsidRDefault="00E66AE2" w:rsidP="002F2B7C">
      <w:pPr>
        <w:spacing w:line="360" w:lineRule="auto"/>
        <w:jc w:val="both"/>
        <w:rPr>
          <w:rFonts w:ascii="Arial" w:hAnsi="Arial" w:cs="Arial"/>
          <w:sz w:val="24"/>
          <w:szCs w:val="24"/>
        </w:rPr>
      </w:pPr>
      <w:r w:rsidRPr="009F7120">
        <w:rPr>
          <w:rFonts w:ascii="Arial" w:hAnsi="Arial" w:cs="Arial"/>
          <w:sz w:val="24"/>
          <w:szCs w:val="24"/>
        </w:rPr>
        <w:tab/>
      </w:r>
      <w:r w:rsidRPr="009F7120">
        <w:rPr>
          <w:rFonts w:ascii="Arial" w:hAnsi="Arial" w:cs="Arial"/>
          <w:sz w:val="24"/>
          <w:szCs w:val="24"/>
        </w:rPr>
        <w:tab/>
        <w:t>Alcântara enfrentou o declínio econômico, ainda no século XIX. Muitos senhores de engenho abandonaram suas terras ou as doaram aos quilombolas para usufruto e subsistência.</w:t>
      </w:r>
    </w:p>
    <w:p w:rsidR="00E66AE2" w:rsidRPr="009F7120" w:rsidRDefault="00E66AE2" w:rsidP="002F2B7C">
      <w:pPr>
        <w:spacing w:line="360" w:lineRule="auto"/>
        <w:jc w:val="both"/>
        <w:rPr>
          <w:rFonts w:ascii="Arial" w:hAnsi="Arial" w:cs="Arial"/>
          <w:sz w:val="24"/>
          <w:szCs w:val="24"/>
        </w:rPr>
      </w:pPr>
      <w:r w:rsidRPr="009F7120">
        <w:rPr>
          <w:rFonts w:ascii="Arial" w:hAnsi="Arial" w:cs="Arial"/>
          <w:sz w:val="24"/>
          <w:szCs w:val="24"/>
        </w:rPr>
        <w:tab/>
      </w:r>
      <w:r w:rsidRPr="009F7120">
        <w:rPr>
          <w:rFonts w:ascii="Arial" w:hAnsi="Arial" w:cs="Arial"/>
          <w:sz w:val="24"/>
          <w:szCs w:val="24"/>
        </w:rPr>
        <w:tab/>
        <w:t>Já no século XX, sobrepondo parte do Território Quilombola de Alcântara, estabeleceu se o Centro de Lançamento de Alcântara (CLA), destinado ao lançamento e rastreio de engenhos aeroespaciais (foguetes, satélites etc.), a testes e experimentos de interesse do Comando da Aeronáutica, em uma extensão de 9,3 mil hectares. Quando da implantação do CLA, a memória do apogeu econômico outrora vivido pela sociedade alcantarense é acionada, atribuindo-se ao CLA a possibilidade de redinamizar a região:</w:t>
      </w:r>
    </w:p>
    <w:p w:rsidR="00E66AE2" w:rsidRPr="009F7120" w:rsidRDefault="00E66AE2" w:rsidP="002F2B7C">
      <w:pPr>
        <w:spacing w:line="360" w:lineRule="auto"/>
        <w:ind w:left="2268"/>
        <w:jc w:val="both"/>
        <w:rPr>
          <w:rFonts w:ascii="Arial" w:hAnsi="Arial" w:cs="Arial"/>
          <w:b/>
          <w:i/>
          <w:sz w:val="24"/>
          <w:szCs w:val="24"/>
        </w:rPr>
      </w:pPr>
      <w:r w:rsidRPr="009F7120">
        <w:rPr>
          <w:rFonts w:ascii="Arial" w:hAnsi="Arial" w:cs="Arial"/>
          <w:b/>
          <w:i/>
          <w:sz w:val="24"/>
          <w:szCs w:val="24"/>
        </w:rPr>
        <w:t xml:space="preserve">(...) conteúdo dos discursos proferidos por técnicos e militares reedita os pressupostos ideológicos básicos que difundem a pretensa ‘decadência’, que será utilizada como justificadora da implantação deste grande projeto. O Centro Lançador passa a ser pensado como capaz de retomar a prosperidade de Alcântara, como </w:t>
      </w:r>
      <w:proofErr w:type="gramStart"/>
      <w:r w:rsidRPr="009F7120">
        <w:rPr>
          <w:rFonts w:ascii="Arial" w:hAnsi="Arial" w:cs="Arial"/>
          <w:b/>
          <w:i/>
          <w:sz w:val="24"/>
          <w:szCs w:val="24"/>
        </w:rPr>
        <w:t>vimos</w:t>
      </w:r>
      <w:proofErr w:type="gramEnd"/>
      <w:r w:rsidRPr="009F7120">
        <w:rPr>
          <w:rFonts w:ascii="Arial" w:hAnsi="Arial" w:cs="Arial"/>
          <w:b/>
          <w:i/>
          <w:sz w:val="24"/>
          <w:szCs w:val="24"/>
        </w:rPr>
        <w:t>, em processo de desestruturação desde o final do século XIX. Os termos ‘progresso, desenvolvimento, e modernização’ articulam o conteúdo ideológico dos discursos e documentos pelos técnicos e militares responsáveis pela construção do Centro Espacial (FERNANDES, 2000: 44 in LOPES, 2016: 65).</w:t>
      </w:r>
    </w:p>
    <w:p w:rsidR="00E66AE2" w:rsidRPr="009F7120" w:rsidRDefault="00E66AE2" w:rsidP="002F2B7C">
      <w:pPr>
        <w:spacing w:line="360" w:lineRule="auto"/>
        <w:ind w:left="2268"/>
        <w:jc w:val="both"/>
        <w:rPr>
          <w:rFonts w:ascii="Arial" w:hAnsi="Arial" w:cs="Arial"/>
          <w:b/>
          <w:i/>
          <w:sz w:val="24"/>
          <w:szCs w:val="24"/>
        </w:rPr>
      </w:pPr>
    </w:p>
    <w:p w:rsidR="00E66AE2" w:rsidRPr="009F7120" w:rsidRDefault="00E66AE2" w:rsidP="002F2B7C">
      <w:pPr>
        <w:spacing w:line="360" w:lineRule="auto"/>
        <w:jc w:val="both"/>
        <w:rPr>
          <w:rFonts w:ascii="Arial" w:hAnsi="Arial" w:cs="Arial"/>
          <w:sz w:val="24"/>
          <w:szCs w:val="24"/>
        </w:rPr>
      </w:pPr>
      <w:r w:rsidRPr="009F7120">
        <w:rPr>
          <w:rFonts w:ascii="Arial" w:hAnsi="Arial" w:cs="Arial"/>
          <w:sz w:val="24"/>
          <w:szCs w:val="24"/>
        </w:rPr>
        <w:tab/>
      </w:r>
      <w:r w:rsidRPr="009F7120">
        <w:rPr>
          <w:rFonts w:ascii="Arial" w:hAnsi="Arial" w:cs="Arial"/>
          <w:sz w:val="24"/>
          <w:szCs w:val="24"/>
        </w:rPr>
        <w:tab/>
        <w:t xml:space="preserve">A Política Espacial Brasileira foi instituída na década de 1960, se iniciando com a construção do Centro de Lançamento da Barreira do Inferno (CLBI), em Natal, Rio 29 Grande do Norte e, posteriormente, com a construção do Centro de Lançamento de Alcântara, na década de 1980. No caso do CLA, a proximidade com a linha do Equador tem sido apontada como uma importante vantagem para a economia de combustíveis nos, além da </w:t>
      </w:r>
      <w:r w:rsidRPr="009F7120">
        <w:rPr>
          <w:rFonts w:ascii="Arial" w:hAnsi="Arial" w:cs="Arial"/>
          <w:sz w:val="24"/>
          <w:szCs w:val="24"/>
        </w:rPr>
        <w:lastRenderedPageBreak/>
        <w:t>segurança proporcionada pelo Oceano Atlântico, em casos de acidentes. A instalação da base ocorreu em meio a um grande conflito social, ao confrontar os interesses e direitos de propriedade das comunidades quilombolas com a ação do estado do Maranhão que, em 1980, publicou o Decreto nº 7.820, desapropriando uma área de 52 mil hectares para a implantação do CLA. A área foi expandida, em 1991, pelo então presidente Fernando Collor, em mais 10 mil hectares, perfazendo 62 mil hectares, e já na vigência do Artigo 68 do Ato das Disposições Constitucionais Transitórias da Constituição Federal de 1988, que afirma direitos de demarcação dos territórios quilombolas.</w:t>
      </w:r>
    </w:p>
    <w:p w:rsidR="00E66AE2" w:rsidRPr="009F7120" w:rsidRDefault="00E66AE2" w:rsidP="002F2B7C">
      <w:pPr>
        <w:spacing w:line="360" w:lineRule="auto"/>
        <w:jc w:val="both"/>
        <w:rPr>
          <w:rFonts w:ascii="Arial" w:hAnsi="Arial" w:cs="Arial"/>
          <w:sz w:val="24"/>
          <w:szCs w:val="24"/>
        </w:rPr>
      </w:pPr>
      <w:r w:rsidRPr="009F7120">
        <w:rPr>
          <w:rFonts w:ascii="Arial" w:hAnsi="Arial" w:cs="Arial"/>
          <w:sz w:val="24"/>
          <w:szCs w:val="24"/>
        </w:rPr>
        <w:tab/>
      </w:r>
      <w:r w:rsidRPr="009F7120">
        <w:rPr>
          <w:rFonts w:ascii="Arial" w:hAnsi="Arial" w:cs="Arial"/>
          <w:sz w:val="24"/>
          <w:szCs w:val="24"/>
        </w:rPr>
        <w:tab/>
        <w:t xml:space="preserve">Em 1996, foi designada à Empresa Brasileira de Infraestrutura Aeroportuária (INFRAERO), pela Aeronáutica, a gestão do CLA por 30 anos. Em maio de 1999, foi realizado o Seminário “Alcântara: A Base Espacial e os Impasses Sociais, organizado pela Federação dos Trabalhadores da Agricultura do Estado do Maranhão (FETAEMA), Confederação Nacional </w:t>
      </w:r>
      <w:proofErr w:type="gramStart"/>
      <w:r w:rsidRPr="009F7120">
        <w:rPr>
          <w:rFonts w:ascii="Arial" w:hAnsi="Arial" w:cs="Arial"/>
          <w:sz w:val="24"/>
          <w:szCs w:val="24"/>
        </w:rPr>
        <w:t>do Trabalhadores</w:t>
      </w:r>
      <w:proofErr w:type="gramEnd"/>
      <w:r w:rsidRPr="009F7120">
        <w:rPr>
          <w:rFonts w:ascii="Arial" w:hAnsi="Arial" w:cs="Arial"/>
          <w:sz w:val="24"/>
          <w:szCs w:val="24"/>
        </w:rPr>
        <w:t xml:space="preserve"> da Agricultura Familiar (CONTAG), Sindicatos dos Trabalhadores e Trabalhadoras Rurais (STTR), com o apoio da Prefeitura Municipal de Alcântara - um divisor de águas, visto que foi a partir desse seminário que a questão relacionada ao Território Quilombola de Alcântara passa a ser discutida como direito étnico, e não mais como direito agrário.</w:t>
      </w:r>
    </w:p>
    <w:p w:rsidR="00E66AE2" w:rsidRPr="009F7120" w:rsidRDefault="00E66AE2" w:rsidP="002F2B7C">
      <w:pPr>
        <w:spacing w:line="360" w:lineRule="auto"/>
        <w:jc w:val="both"/>
        <w:rPr>
          <w:rFonts w:ascii="Arial" w:hAnsi="Arial" w:cs="Arial"/>
          <w:sz w:val="24"/>
          <w:szCs w:val="24"/>
        </w:rPr>
      </w:pPr>
      <w:r w:rsidRPr="009F7120">
        <w:rPr>
          <w:rFonts w:ascii="Arial" w:hAnsi="Arial" w:cs="Arial"/>
          <w:sz w:val="24"/>
          <w:szCs w:val="24"/>
        </w:rPr>
        <w:tab/>
      </w:r>
      <w:r w:rsidRPr="009F7120">
        <w:rPr>
          <w:rFonts w:ascii="Arial" w:hAnsi="Arial" w:cs="Arial"/>
          <w:sz w:val="24"/>
          <w:szCs w:val="24"/>
        </w:rPr>
        <w:tab/>
        <w:t>Posteriormente, foi aberta uma Ação Civil Pública (ACP) obrigando o Estado brasileiro a elaborar o Relatório de Identificação e Delimitação (RTID). Após a elaboração do RTID pronto, foi aberta outra ACP para determinar a titulação, o que não aconteceu até hoje. Uma denúncia contra o Estado brasileiro foi então apresentada à Comissão Interamericana de Direitos Humanos (CIDH) e à Organização Internacional do Trabalho (OIT). Em 2009, o caso foi para a Câmara de Conciliação da Administração Pública Federal (CCAF) da Advocacia Geral da União (AGU).</w:t>
      </w:r>
    </w:p>
    <w:p w:rsidR="00E66AE2" w:rsidRPr="009F7120" w:rsidRDefault="00E66AE2" w:rsidP="002F2B7C">
      <w:pPr>
        <w:spacing w:line="360" w:lineRule="auto"/>
        <w:jc w:val="both"/>
        <w:rPr>
          <w:rFonts w:ascii="Arial" w:hAnsi="Arial" w:cs="Arial"/>
          <w:sz w:val="24"/>
          <w:szCs w:val="24"/>
        </w:rPr>
      </w:pPr>
      <w:r w:rsidRPr="009F7120">
        <w:rPr>
          <w:rFonts w:ascii="Arial" w:hAnsi="Arial" w:cs="Arial"/>
          <w:sz w:val="24"/>
          <w:szCs w:val="24"/>
        </w:rPr>
        <w:tab/>
      </w:r>
      <w:r w:rsidRPr="009F7120">
        <w:rPr>
          <w:rFonts w:ascii="Arial" w:hAnsi="Arial" w:cs="Arial"/>
          <w:sz w:val="24"/>
          <w:szCs w:val="24"/>
        </w:rPr>
        <w:tab/>
        <w:t xml:space="preserve">Recentemente, esse contencioso foi incrementado com anúncios de uma proposta de expansão do CLA, sobre o Território Quilombola de </w:t>
      </w:r>
      <w:proofErr w:type="gramStart"/>
      <w:r w:rsidRPr="009F7120">
        <w:rPr>
          <w:rFonts w:ascii="Arial" w:hAnsi="Arial" w:cs="Arial"/>
          <w:sz w:val="24"/>
          <w:szCs w:val="24"/>
        </w:rPr>
        <w:t>Alcântara já delimitados pelo RTID</w:t>
      </w:r>
      <w:proofErr w:type="gramEnd"/>
      <w:r w:rsidRPr="009F7120">
        <w:rPr>
          <w:rFonts w:ascii="Arial" w:hAnsi="Arial" w:cs="Arial"/>
          <w:sz w:val="24"/>
          <w:szCs w:val="24"/>
        </w:rPr>
        <w:t xml:space="preserve">. Segundo informações que circularam na mídia, em 31 de maio de 2017, por ocasião </w:t>
      </w:r>
      <w:proofErr w:type="gramStart"/>
      <w:r w:rsidRPr="009F7120">
        <w:rPr>
          <w:rFonts w:ascii="Arial" w:hAnsi="Arial" w:cs="Arial"/>
          <w:sz w:val="24"/>
          <w:szCs w:val="24"/>
        </w:rPr>
        <w:t>do 30</w:t>
      </w:r>
      <w:proofErr w:type="gramEnd"/>
      <w:r w:rsidRPr="009F7120">
        <w:rPr>
          <w:rFonts w:ascii="Arial" w:hAnsi="Arial" w:cs="Arial"/>
          <w:sz w:val="24"/>
          <w:szCs w:val="24"/>
        </w:rPr>
        <w:t xml:space="preserve"> Fórum de Investimentos Brasil, em São Paulo, o Ministro da Defesa Raul Jungmann declarou que a proposta de expansão do CLA “Está pronta e acabada, é só virar a chave. Com </w:t>
      </w:r>
      <w:r w:rsidRPr="009F7120">
        <w:rPr>
          <w:rFonts w:ascii="Arial" w:hAnsi="Arial" w:cs="Arial"/>
          <w:sz w:val="24"/>
          <w:szCs w:val="24"/>
        </w:rPr>
        <w:lastRenderedPageBreak/>
        <w:t xml:space="preserve">aquela localização [privilegiada], a gente precisa, de fato, gerar recursos”. Nesse mesmo pronunciamento, o ministro teria sugerido que a questão quilombola constitui-se em um empecilho à expansão da base e, portanto, à captação de recursos estrangeiros, via CLA. Também de acordo com a cobertura de imprensa, países como Estados Unidos, França, Rússia e Israel já teriam demonstrado interesse no Centro de Lançamento. Na missão realizada pelo GT Quilombola ao Território de Alcântara, moradores relataram terem testemunhado um sobrevoo de helicóptero sobre suas terras, realizado pelo Diretor do CLA com o Ministro-Chefe do Gabinete de Segurança Institucional (GSI), Sérgio </w:t>
      </w:r>
      <w:proofErr w:type="spellStart"/>
      <w:r w:rsidRPr="009F7120">
        <w:rPr>
          <w:rFonts w:ascii="Arial" w:hAnsi="Arial" w:cs="Arial"/>
          <w:sz w:val="24"/>
          <w:szCs w:val="24"/>
        </w:rPr>
        <w:t>Etchegoyen</w:t>
      </w:r>
      <w:proofErr w:type="spellEnd"/>
      <w:r w:rsidRPr="009F7120">
        <w:rPr>
          <w:rFonts w:ascii="Arial" w:hAnsi="Arial" w:cs="Arial"/>
          <w:sz w:val="24"/>
          <w:szCs w:val="24"/>
        </w:rPr>
        <w:t xml:space="preserve">. No início de outubro, Michel Temer visitou o CLA, junto com Raul Jungmann, Sérgio </w:t>
      </w:r>
      <w:proofErr w:type="spellStart"/>
      <w:r w:rsidRPr="009F7120">
        <w:rPr>
          <w:rFonts w:ascii="Arial" w:hAnsi="Arial" w:cs="Arial"/>
          <w:sz w:val="24"/>
          <w:szCs w:val="24"/>
        </w:rPr>
        <w:t>Etchegoyen</w:t>
      </w:r>
      <w:proofErr w:type="spellEnd"/>
      <w:r w:rsidRPr="009F7120">
        <w:rPr>
          <w:rFonts w:ascii="Arial" w:hAnsi="Arial" w:cs="Arial"/>
          <w:sz w:val="24"/>
          <w:szCs w:val="24"/>
        </w:rPr>
        <w:t xml:space="preserve">, Aloysio Nunes (Ministro das Relações Exteriores), </w:t>
      </w:r>
      <w:proofErr w:type="spellStart"/>
      <w:r w:rsidRPr="009F7120">
        <w:rPr>
          <w:rFonts w:ascii="Arial" w:hAnsi="Arial" w:cs="Arial"/>
          <w:sz w:val="24"/>
          <w:szCs w:val="24"/>
        </w:rPr>
        <w:t>Dyogo</w:t>
      </w:r>
      <w:proofErr w:type="spellEnd"/>
      <w:r w:rsidRPr="009F7120">
        <w:rPr>
          <w:rFonts w:ascii="Arial" w:hAnsi="Arial" w:cs="Arial"/>
          <w:sz w:val="24"/>
          <w:szCs w:val="24"/>
        </w:rPr>
        <w:t xml:space="preserve"> Oliveira (Ministro do Planejamento, Desenvolvimento e Gestão), </w:t>
      </w:r>
      <w:r w:rsidR="0072799F" w:rsidRPr="009F7120">
        <w:rPr>
          <w:rFonts w:ascii="Arial" w:hAnsi="Arial" w:cs="Arial"/>
          <w:sz w:val="24"/>
          <w:szCs w:val="24"/>
        </w:rPr>
        <w:t>Antônio</w:t>
      </w:r>
      <w:r w:rsidRPr="009F7120">
        <w:rPr>
          <w:rFonts w:ascii="Arial" w:hAnsi="Arial" w:cs="Arial"/>
          <w:sz w:val="24"/>
          <w:szCs w:val="24"/>
        </w:rPr>
        <w:t xml:space="preserve"> Imbassahy (Ministro da Secretaria de Governo), Sarney Filho (Ministro do Meio Ambiente), Grace Mendonça (Advogada-Geral da União) e Nivaldo </w:t>
      </w:r>
      <w:proofErr w:type="spellStart"/>
      <w:r w:rsidRPr="009F7120">
        <w:rPr>
          <w:rFonts w:ascii="Arial" w:hAnsi="Arial" w:cs="Arial"/>
          <w:sz w:val="24"/>
          <w:szCs w:val="24"/>
        </w:rPr>
        <w:t>Rossato</w:t>
      </w:r>
      <w:proofErr w:type="spellEnd"/>
      <w:r w:rsidRPr="009F7120">
        <w:rPr>
          <w:rFonts w:ascii="Arial" w:hAnsi="Arial" w:cs="Arial"/>
          <w:sz w:val="24"/>
          <w:szCs w:val="24"/>
        </w:rPr>
        <w:t xml:space="preserve"> (Comandante da Aeronáutica). Em nenhum momento - antes ou após os anúncios pela imprensa sobre a proposta expansão do CLA – houve qualquer iniciativa de diálogo por parte do Estado brasileiro com relação às comunidades quilombolas de Alcântara, que se mostram </w:t>
      </w:r>
      <w:proofErr w:type="gramStart"/>
      <w:r w:rsidRPr="009F7120">
        <w:rPr>
          <w:rFonts w:ascii="Arial" w:hAnsi="Arial" w:cs="Arial"/>
          <w:sz w:val="24"/>
          <w:szCs w:val="24"/>
        </w:rPr>
        <w:t>bastante</w:t>
      </w:r>
      <w:proofErr w:type="gramEnd"/>
      <w:r w:rsidRPr="009F7120">
        <w:rPr>
          <w:rFonts w:ascii="Arial" w:hAnsi="Arial" w:cs="Arial"/>
          <w:sz w:val="24"/>
          <w:szCs w:val="24"/>
        </w:rPr>
        <w:t xml:space="preserve"> apreensivas com o futuro.</w:t>
      </w:r>
    </w:p>
    <w:p w:rsidR="0072799F" w:rsidRPr="009F7120" w:rsidRDefault="0072799F" w:rsidP="002F2B7C">
      <w:pPr>
        <w:spacing w:line="360" w:lineRule="auto"/>
        <w:ind w:left="426" w:firstLine="708"/>
        <w:rPr>
          <w:rFonts w:ascii="Arial" w:hAnsi="Arial" w:cs="Arial"/>
          <w:b/>
          <w:sz w:val="24"/>
          <w:szCs w:val="24"/>
        </w:rPr>
      </w:pPr>
    </w:p>
    <w:p w:rsidR="0072799F" w:rsidRPr="009F7120" w:rsidRDefault="0072799F" w:rsidP="002F2B7C">
      <w:pPr>
        <w:spacing w:line="360" w:lineRule="auto"/>
        <w:ind w:left="426" w:firstLine="708"/>
        <w:rPr>
          <w:rFonts w:ascii="Arial" w:hAnsi="Arial" w:cs="Arial"/>
          <w:b/>
          <w:sz w:val="24"/>
          <w:szCs w:val="24"/>
        </w:rPr>
      </w:pPr>
      <w:r w:rsidRPr="009F7120">
        <w:rPr>
          <w:rFonts w:ascii="Arial" w:hAnsi="Arial" w:cs="Arial"/>
          <w:b/>
          <w:sz w:val="24"/>
          <w:szCs w:val="24"/>
        </w:rPr>
        <w:t>RELATO</w:t>
      </w:r>
    </w:p>
    <w:p w:rsidR="0072799F" w:rsidRPr="009F7120" w:rsidRDefault="0072799F" w:rsidP="002F2B7C">
      <w:pPr>
        <w:spacing w:after="100" w:afterAutospacing="1" w:line="360" w:lineRule="auto"/>
        <w:ind w:firstLine="1134"/>
        <w:jc w:val="both"/>
        <w:rPr>
          <w:rFonts w:ascii="Arial" w:hAnsi="Arial" w:cs="Arial"/>
          <w:sz w:val="24"/>
          <w:szCs w:val="24"/>
        </w:rPr>
      </w:pPr>
    </w:p>
    <w:p w:rsidR="0072799F" w:rsidRPr="009F7120" w:rsidRDefault="0072799F" w:rsidP="002F2B7C">
      <w:pPr>
        <w:spacing w:after="100" w:afterAutospacing="1" w:line="360" w:lineRule="auto"/>
        <w:ind w:firstLine="1134"/>
        <w:jc w:val="both"/>
        <w:rPr>
          <w:rFonts w:ascii="Arial" w:hAnsi="Arial" w:cs="Arial"/>
          <w:sz w:val="24"/>
          <w:szCs w:val="24"/>
        </w:rPr>
      </w:pPr>
      <w:r w:rsidRPr="009F7120">
        <w:rPr>
          <w:rFonts w:ascii="Arial" w:hAnsi="Arial" w:cs="Arial"/>
          <w:sz w:val="24"/>
          <w:szCs w:val="24"/>
        </w:rPr>
        <w:t>No dia 05/12/2018, a comitiva iniciou o deslocamento de Brasília para São Luiz do Maranhão</w:t>
      </w:r>
      <w:r w:rsidR="009F7120">
        <w:rPr>
          <w:rFonts w:ascii="Arial" w:hAnsi="Arial" w:cs="Arial"/>
          <w:sz w:val="24"/>
          <w:szCs w:val="24"/>
        </w:rPr>
        <w:t>,</w:t>
      </w:r>
      <w:r w:rsidRPr="009F7120">
        <w:rPr>
          <w:rFonts w:ascii="Arial" w:hAnsi="Arial" w:cs="Arial"/>
          <w:sz w:val="24"/>
          <w:szCs w:val="24"/>
        </w:rPr>
        <w:t xml:space="preserve"> por volta das </w:t>
      </w:r>
      <w:proofErr w:type="gramStart"/>
      <w:r w:rsidRPr="009F7120">
        <w:rPr>
          <w:rFonts w:ascii="Arial" w:hAnsi="Arial" w:cs="Arial"/>
          <w:sz w:val="24"/>
          <w:szCs w:val="24"/>
        </w:rPr>
        <w:t>23:55</w:t>
      </w:r>
      <w:proofErr w:type="gramEnd"/>
      <w:r w:rsidRPr="009F7120">
        <w:rPr>
          <w:rFonts w:ascii="Arial" w:hAnsi="Arial" w:cs="Arial"/>
          <w:sz w:val="24"/>
          <w:szCs w:val="24"/>
        </w:rPr>
        <w:t xml:space="preserve">h da noite, no voo da LATAM LA3182. Às </w:t>
      </w:r>
      <w:proofErr w:type="gramStart"/>
      <w:r w:rsidRPr="009F7120">
        <w:rPr>
          <w:rFonts w:ascii="Arial" w:hAnsi="Arial" w:cs="Arial"/>
          <w:sz w:val="24"/>
          <w:szCs w:val="24"/>
        </w:rPr>
        <w:t>1:40</w:t>
      </w:r>
      <w:proofErr w:type="gramEnd"/>
      <w:r w:rsidRPr="009F7120">
        <w:rPr>
          <w:rFonts w:ascii="Arial" w:hAnsi="Arial" w:cs="Arial"/>
          <w:sz w:val="24"/>
          <w:szCs w:val="24"/>
        </w:rPr>
        <w:t xml:space="preserve">h da manhã do dia 06/12/2018, chegou ao destino. Já em São Luiz, por volta de 12h30, a comitiva se dirigiu ao Comando Geral da PM em São Luiz para pegar o helicóptero </w:t>
      </w:r>
      <w:r w:rsidR="009F7120" w:rsidRPr="009F7120">
        <w:rPr>
          <w:rFonts w:ascii="Arial" w:hAnsi="Arial" w:cs="Arial"/>
          <w:sz w:val="24"/>
          <w:szCs w:val="24"/>
        </w:rPr>
        <w:t>do G</w:t>
      </w:r>
      <w:r w:rsidRPr="009F7120">
        <w:rPr>
          <w:rFonts w:ascii="Arial" w:hAnsi="Arial" w:cs="Arial"/>
          <w:sz w:val="24"/>
          <w:szCs w:val="24"/>
        </w:rPr>
        <w:t>overno do Estado e fazer o deslocamento até à</w:t>
      </w:r>
      <w:r w:rsidR="009F7120" w:rsidRPr="009F7120">
        <w:rPr>
          <w:rFonts w:ascii="Arial" w:hAnsi="Arial" w:cs="Arial"/>
          <w:sz w:val="24"/>
          <w:szCs w:val="24"/>
        </w:rPr>
        <w:t xml:space="preserve"> cidade de</w:t>
      </w:r>
      <w:r w:rsidRPr="009F7120">
        <w:rPr>
          <w:rFonts w:ascii="Arial" w:hAnsi="Arial" w:cs="Arial"/>
          <w:sz w:val="24"/>
          <w:szCs w:val="24"/>
        </w:rPr>
        <w:t xml:space="preserve"> Alcântara. </w:t>
      </w:r>
    </w:p>
    <w:p w:rsidR="00FB249F" w:rsidRDefault="0072799F" w:rsidP="002F2B7C">
      <w:pPr>
        <w:spacing w:after="100" w:afterAutospacing="1" w:line="360" w:lineRule="auto"/>
        <w:ind w:firstLine="1134"/>
        <w:jc w:val="both"/>
        <w:rPr>
          <w:rFonts w:ascii="Arial" w:hAnsi="Arial" w:cs="Arial"/>
          <w:sz w:val="24"/>
          <w:szCs w:val="24"/>
        </w:rPr>
      </w:pPr>
      <w:r w:rsidRPr="009F7120">
        <w:rPr>
          <w:rFonts w:ascii="Arial" w:hAnsi="Arial" w:cs="Arial"/>
          <w:sz w:val="24"/>
          <w:szCs w:val="24"/>
        </w:rPr>
        <w:t xml:space="preserve">Em Alcântara a equipe se reuniu com </w:t>
      </w:r>
      <w:r w:rsidR="002259EA">
        <w:rPr>
          <w:rFonts w:ascii="Arial" w:hAnsi="Arial" w:cs="Arial"/>
          <w:sz w:val="24"/>
          <w:szCs w:val="24"/>
        </w:rPr>
        <w:t>o</w:t>
      </w:r>
      <w:r w:rsidR="009F7120" w:rsidRPr="009F7120">
        <w:rPr>
          <w:rFonts w:ascii="Arial" w:hAnsi="Arial" w:cs="Arial"/>
          <w:sz w:val="24"/>
          <w:szCs w:val="24"/>
        </w:rPr>
        <w:t xml:space="preserve"> Sindicato dos Trabalhadores </w:t>
      </w:r>
      <w:r w:rsidR="002259EA">
        <w:rPr>
          <w:rFonts w:ascii="Arial" w:hAnsi="Arial" w:cs="Arial"/>
          <w:sz w:val="24"/>
          <w:szCs w:val="24"/>
        </w:rPr>
        <w:t>Rurais de Alcântara</w:t>
      </w:r>
      <w:r w:rsidR="00465387">
        <w:rPr>
          <w:rFonts w:ascii="Arial" w:hAnsi="Arial" w:cs="Arial"/>
          <w:sz w:val="24"/>
          <w:szCs w:val="24"/>
        </w:rPr>
        <w:t xml:space="preserve"> </w:t>
      </w:r>
      <w:r w:rsidR="00465387" w:rsidRPr="00465387">
        <w:rPr>
          <w:rFonts w:ascii="Arial" w:hAnsi="Arial" w:cs="Arial"/>
          <w:sz w:val="24"/>
          <w:szCs w:val="24"/>
        </w:rPr>
        <w:t xml:space="preserve">com representantes das sete agrovilas, comunidades </w:t>
      </w:r>
      <w:r w:rsidR="00465387" w:rsidRPr="00465387">
        <w:rPr>
          <w:rFonts w:ascii="Arial" w:hAnsi="Arial" w:cs="Arial"/>
          <w:sz w:val="24"/>
          <w:szCs w:val="24"/>
        </w:rPr>
        <w:lastRenderedPageBreak/>
        <w:t>quilombolas e poder público municipal</w:t>
      </w:r>
      <w:r w:rsidR="00FB249F">
        <w:rPr>
          <w:rFonts w:ascii="Arial" w:hAnsi="Arial" w:cs="Arial"/>
          <w:sz w:val="24"/>
          <w:szCs w:val="24"/>
        </w:rPr>
        <w:t xml:space="preserve"> para colher informações e ouvir os representantes das agrovilas e das comunidades quilombolas.</w:t>
      </w:r>
    </w:p>
    <w:p w:rsidR="0072799F" w:rsidRDefault="00FB249F" w:rsidP="002F2B7C">
      <w:pPr>
        <w:spacing w:after="100" w:afterAutospacing="1" w:line="360" w:lineRule="auto"/>
        <w:ind w:firstLine="1134"/>
        <w:jc w:val="both"/>
        <w:rPr>
          <w:rFonts w:ascii="Arial" w:hAnsi="Arial" w:cs="Arial"/>
          <w:sz w:val="24"/>
          <w:szCs w:val="24"/>
        </w:rPr>
      </w:pPr>
      <w:r w:rsidRPr="00912926">
        <w:rPr>
          <w:rFonts w:ascii="Arial" w:hAnsi="Arial" w:cs="Arial"/>
          <w:sz w:val="24"/>
          <w:szCs w:val="24"/>
        </w:rPr>
        <w:t>Por volta das 15h</w:t>
      </w:r>
      <w:r w:rsidR="00912926">
        <w:rPr>
          <w:rFonts w:ascii="Arial" w:hAnsi="Arial" w:cs="Arial"/>
          <w:sz w:val="24"/>
          <w:szCs w:val="24"/>
        </w:rPr>
        <w:t>20</w:t>
      </w:r>
      <w:r w:rsidR="00540B09" w:rsidRPr="00912926">
        <w:rPr>
          <w:rFonts w:ascii="Arial" w:hAnsi="Arial" w:cs="Arial"/>
          <w:sz w:val="24"/>
          <w:szCs w:val="24"/>
        </w:rPr>
        <w:t xml:space="preserve">, </w:t>
      </w:r>
      <w:proofErr w:type="gramStart"/>
      <w:r w:rsidR="00912926" w:rsidRPr="00912926">
        <w:rPr>
          <w:rFonts w:ascii="Arial" w:hAnsi="Arial" w:cs="Arial"/>
          <w:sz w:val="24"/>
          <w:szCs w:val="24"/>
          <w:shd w:val="clear" w:color="auto" w:fill="FFFFFF"/>
        </w:rPr>
        <w:t>as</w:t>
      </w:r>
      <w:proofErr w:type="gramEnd"/>
      <w:r w:rsidR="00912926" w:rsidRPr="00912926">
        <w:rPr>
          <w:rFonts w:ascii="Arial" w:hAnsi="Arial" w:cs="Arial"/>
          <w:sz w:val="24"/>
          <w:szCs w:val="24"/>
          <w:shd w:val="clear" w:color="auto" w:fill="FFFFFF"/>
        </w:rPr>
        <w:t xml:space="preserve"> equipes do Governo do Estado e da CDHM</w:t>
      </w:r>
      <w:r w:rsidR="00912926" w:rsidRPr="00912926">
        <w:rPr>
          <w:rFonts w:ascii="Arial" w:hAnsi="Arial" w:cs="Arial"/>
          <w:sz w:val="24"/>
          <w:szCs w:val="24"/>
        </w:rPr>
        <w:t xml:space="preserve"> </w:t>
      </w:r>
      <w:r w:rsidR="00540B09" w:rsidRPr="00912926">
        <w:rPr>
          <w:rFonts w:ascii="Arial" w:hAnsi="Arial" w:cs="Arial"/>
          <w:sz w:val="24"/>
          <w:szCs w:val="24"/>
          <w:shd w:val="clear" w:color="auto" w:fill="FFFFFF"/>
        </w:rPr>
        <w:t xml:space="preserve">visitaram a Comunidade </w:t>
      </w:r>
      <w:proofErr w:type="spellStart"/>
      <w:r w:rsidR="00540B09" w:rsidRPr="00912926">
        <w:rPr>
          <w:rFonts w:ascii="Arial" w:hAnsi="Arial" w:cs="Arial"/>
          <w:sz w:val="24"/>
          <w:szCs w:val="24"/>
          <w:shd w:val="clear" w:color="auto" w:fill="FFFFFF"/>
        </w:rPr>
        <w:t>Canelatiua</w:t>
      </w:r>
      <w:proofErr w:type="spellEnd"/>
      <w:r w:rsidR="00540B09" w:rsidRPr="00912926">
        <w:rPr>
          <w:rFonts w:ascii="Arial" w:hAnsi="Arial" w:cs="Arial"/>
          <w:sz w:val="24"/>
          <w:szCs w:val="24"/>
          <w:shd w:val="clear" w:color="auto" w:fill="FFFFFF"/>
        </w:rPr>
        <w:t>, que fica localizada na área de possível expansão da Base onde moram 63 famílias.</w:t>
      </w:r>
      <w:r w:rsidR="00540B09" w:rsidRPr="00912926">
        <w:rPr>
          <w:rFonts w:ascii="Arial" w:hAnsi="Arial" w:cs="Arial"/>
          <w:sz w:val="24"/>
          <w:szCs w:val="24"/>
        </w:rPr>
        <w:t xml:space="preserve"> </w:t>
      </w:r>
      <w:r w:rsidRPr="00912926">
        <w:rPr>
          <w:rFonts w:ascii="Arial" w:hAnsi="Arial" w:cs="Arial"/>
          <w:sz w:val="24"/>
          <w:szCs w:val="24"/>
        </w:rPr>
        <w:t xml:space="preserve"> </w:t>
      </w:r>
    </w:p>
    <w:p w:rsidR="00912926" w:rsidRDefault="00912926" w:rsidP="002F2B7C">
      <w:pPr>
        <w:spacing w:after="100" w:afterAutospacing="1" w:line="360" w:lineRule="auto"/>
        <w:ind w:firstLine="1134"/>
        <w:jc w:val="both"/>
        <w:rPr>
          <w:rFonts w:ascii="Arial" w:hAnsi="Arial" w:cs="Arial"/>
          <w:sz w:val="24"/>
          <w:szCs w:val="24"/>
        </w:rPr>
      </w:pPr>
      <w:r>
        <w:rPr>
          <w:rFonts w:ascii="Arial" w:hAnsi="Arial" w:cs="Arial"/>
          <w:sz w:val="24"/>
          <w:szCs w:val="24"/>
        </w:rPr>
        <w:t xml:space="preserve">As 15h50, as equipes do Governo do Estado e da CDHM realizaram um sobrevoo pelas comunidades quilombolas, no município de Alcântara. </w:t>
      </w:r>
    </w:p>
    <w:p w:rsidR="00912926" w:rsidRPr="00912926" w:rsidRDefault="00912926" w:rsidP="002F2B7C">
      <w:pPr>
        <w:spacing w:after="100" w:afterAutospacing="1" w:line="360" w:lineRule="auto"/>
        <w:ind w:firstLine="1134"/>
        <w:jc w:val="both"/>
        <w:rPr>
          <w:rFonts w:ascii="Arial" w:hAnsi="Arial" w:cs="Arial"/>
          <w:sz w:val="24"/>
          <w:szCs w:val="24"/>
        </w:rPr>
      </w:pPr>
      <w:r>
        <w:rPr>
          <w:rFonts w:ascii="Arial" w:hAnsi="Arial" w:cs="Arial"/>
          <w:sz w:val="24"/>
          <w:szCs w:val="24"/>
        </w:rPr>
        <w:t xml:space="preserve">Por Volta das 17h30, a comitiva participou </w:t>
      </w:r>
      <w:r w:rsidR="00F76619">
        <w:rPr>
          <w:rFonts w:ascii="Arial" w:hAnsi="Arial" w:cs="Arial"/>
          <w:sz w:val="24"/>
          <w:szCs w:val="24"/>
        </w:rPr>
        <w:t>de</w:t>
      </w:r>
      <w:r>
        <w:rPr>
          <w:rFonts w:ascii="Arial" w:hAnsi="Arial" w:cs="Arial"/>
          <w:sz w:val="24"/>
          <w:szCs w:val="24"/>
        </w:rPr>
        <w:t xml:space="preserve"> reunião no Anexo IV do Fórum de </w:t>
      </w:r>
      <w:r w:rsidR="00F76619">
        <w:rPr>
          <w:rFonts w:ascii="Arial" w:hAnsi="Arial" w:cs="Arial"/>
          <w:sz w:val="24"/>
          <w:szCs w:val="24"/>
        </w:rPr>
        <w:t xml:space="preserve">São Luiz do Maranhão, com </w:t>
      </w:r>
      <w:r w:rsidR="00F76619" w:rsidRPr="00F76619">
        <w:rPr>
          <w:rFonts w:ascii="Arial" w:hAnsi="Arial" w:cs="Arial"/>
          <w:sz w:val="24"/>
          <w:szCs w:val="24"/>
        </w:rPr>
        <w:t xml:space="preserve">o juiz Ricardo Macieira; com Danilo </w:t>
      </w:r>
      <w:proofErr w:type="spellStart"/>
      <w:r w:rsidR="00F76619" w:rsidRPr="00F76619">
        <w:rPr>
          <w:rFonts w:ascii="Arial" w:hAnsi="Arial" w:cs="Arial"/>
          <w:sz w:val="24"/>
          <w:szCs w:val="24"/>
        </w:rPr>
        <w:t>Serejo</w:t>
      </w:r>
      <w:proofErr w:type="spellEnd"/>
      <w:r w:rsidR="00F76619" w:rsidRPr="00F76619">
        <w:rPr>
          <w:rFonts w:ascii="Arial" w:hAnsi="Arial" w:cs="Arial"/>
          <w:sz w:val="24"/>
          <w:szCs w:val="24"/>
        </w:rPr>
        <w:t>, do Movimento dos Atingidos pela Base Espacial de Alcântara (</w:t>
      </w:r>
      <w:proofErr w:type="spellStart"/>
      <w:r w:rsidR="00F76619" w:rsidRPr="00F76619">
        <w:rPr>
          <w:rFonts w:ascii="Arial" w:hAnsi="Arial" w:cs="Arial"/>
          <w:sz w:val="24"/>
          <w:szCs w:val="24"/>
        </w:rPr>
        <w:t>Mabe</w:t>
      </w:r>
      <w:proofErr w:type="spellEnd"/>
      <w:r w:rsidR="00F76619" w:rsidRPr="00F76619">
        <w:rPr>
          <w:rFonts w:ascii="Arial" w:hAnsi="Arial" w:cs="Arial"/>
          <w:sz w:val="24"/>
          <w:szCs w:val="24"/>
        </w:rPr>
        <w:t xml:space="preserve">); Hilton Melo, do Ministério Público Federal (MPF); </w:t>
      </w:r>
      <w:proofErr w:type="spellStart"/>
      <w:r w:rsidR="00F76619" w:rsidRPr="00F76619">
        <w:rPr>
          <w:rFonts w:ascii="Arial" w:hAnsi="Arial" w:cs="Arial"/>
          <w:sz w:val="24"/>
          <w:szCs w:val="24"/>
        </w:rPr>
        <w:t>Yure</w:t>
      </w:r>
      <w:proofErr w:type="spellEnd"/>
      <w:r w:rsidR="00F76619" w:rsidRPr="00F76619">
        <w:rPr>
          <w:rFonts w:ascii="Arial" w:hAnsi="Arial" w:cs="Arial"/>
          <w:sz w:val="24"/>
          <w:szCs w:val="24"/>
        </w:rPr>
        <w:t xml:space="preserve"> Costa, da Defensoria Pública da União; Fabrício Dias, da Advocacia-Geral da União (AGU); e com representantes da Aeronáutica (CLA), o 1º tenente Sebastião e </w:t>
      </w:r>
      <w:proofErr w:type="spellStart"/>
      <w:r w:rsidR="00F76619" w:rsidRPr="00F76619">
        <w:rPr>
          <w:rFonts w:ascii="Arial" w:hAnsi="Arial" w:cs="Arial"/>
          <w:sz w:val="24"/>
          <w:szCs w:val="24"/>
        </w:rPr>
        <w:t>Enildo</w:t>
      </w:r>
      <w:proofErr w:type="spellEnd"/>
      <w:r w:rsidR="00F76619" w:rsidRPr="00F76619">
        <w:rPr>
          <w:rFonts w:ascii="Arial" w:hAnsi="Arial" w:cs="Arial"/>
          <w:sz w:val="24"/>
          <w:szCs w:val="24"/>
        </w:rPr>
        <w:t xml:space="preserve"> Braga.</w:t>
      </w:r>
    </w:p>
    <w:p w:rsidR="0072799F" w:rsidRDefault="0072799F" w:rsidP="002F2B7C">
      <w:pPr>
        <w:spacing w:after="100" w:afterAutospacing="1" w:line="360" w:lineRule="auto"/>
        <w:ind w:firstLine="1134"/>
        <w:jc w:val="both"/>
        <w:rPr>
          <w:rFonts w:ascii="Arial" w:hAnsi="Arial" w:cs="Arial"/>
          <w:sz w:val="24"/>
          <w:szCs w:val="24"/>
        </w:rPr>
      </w:pPr>
      <w:r>
        <w:rPr>
          <w:rFonts w:ascii="Arial" w:hAnsi="Arial" w:cs="Arial"/>
          <w:sz w:val="24"/>
          <w:szCs w:val="24"/>
        </w:rPr>
        <w:t>Durante a visita verificamos</w:t>
      </w:r>
      <w:r w:rsidRPr="00BE1190">
        <w:rPr>
          <w:rFonts w:ascii="Arial" w:hAnsi="Arial" w:cs="Arial"/>
          <w:i/>
          <w:sz w:val="24"/>
          <w:szCs w:val="24"/>
        </w:rPr>
        <w:t xml:space="preserve"> </w:t>
      </w:r>
      <w:r w:rsidRPr="00BE1190">
        <w:rPr>
          <w:rFonts w:ascii="Arial" w:hAnsi="Arial" w:cs="Arial"/>
          <w:sz w:val="24"/>
          <w:szCs w:val="24"/>
        </w:rPr>
        <w:t>que:</w:t>
      </w:r>
    </w:p>
    <w:p w:rsidR="00F76619" w:rsidRDefault="00F76619" w:rsidP="002F2B7C">
      <w:pPr>
        <w:pStyle w:val="PargrafodaLista"/>
        <w:numPr>
          <w:ilvl w:val="0"/>
          <w:numId w:val="1"/>
        </w:numPr>
        <w:spacing w:after="100" w:afterAutospacing="1" w:line="360" w:lineRule="auto"/>
        <w:jc w:val="both"/>
        <w:rPr>
          <w:rFonts w:ascii="Arial" w:hAnsi="Arial" w:cs="Arial"/>
          <w:sz w:val="24"/>
          <w:szCs w:val="24"/>
        </w:rPr>
      </w:pPr>
      <w:r>
        <w:rPr>
          <w:rFonts w:ascii="Arial" w:hAnsi="Arial" w:cs="Arial"/>
          <w:sz w:val="24"/>
          <w:szCs w:val="24"/>
        </w:rPr>
        <w:t xml:space="preserve">A luta das comunidades quilombolas de Alcântara pelo seu território já se estende por aproximadamente 40 anos, sem que seu direito básico a propriedade tenha sido </w:t>
      </w:r>
      <w:r w:rsidR="00AD7EFB">
        <w:rPr>
          <w:rFonts w:ascii="Arial" w:hAnsi="Arial" w:cs="Arial"/>
          <w:sz w:val="24"/>
          <w:szCs w:val="24"/>
        </w:rPr>
        <w:t>satisfeita</w:t>
      </w:r>
      <w:r>
        <w:rPr>
          <w:rFonts w:ascii="Arial" w:hAnsi="Arial" w:cs="Arial"/>
          <w:sz w:val="24"/>
          <w:szCs w:val="24"/>
        </w:rPr>
        <w:t xml:space="preserve">, conforme normatiza o artigo 68 do Ato das Disposições </w:t>
      </w:r>
      <w:r w:rsidR="00AD7EFB">
        <w:rPr>
          <w:rFonts w:ascii="Arial" w:hAnsi="Arial" w:cs="Arial"/>
          <w:sz w:val="24"/>
          <w:szCs w:val="24"/>
        </w:rPr>
        <w:t xml:space="preserve">Constitucionais Transitórias da Constituição Federal de 1988. Impedindo assim, que estas comunidades gozem de </w:t>
      </w:r>
      <w:proofErr w:type="gramStart"/>
      <w:r w:rsidR="00AD7EFB">
        <w:rPr>
          <w:rFonts w:ascii="Arial" w:hAnsi="Arial" w:cs="Arial"/>
          <w:sz w:val="24"/>
          <w:szCs w:val="24"/>
        </w:rPr>
        <w:t>outras políticas públicas e direitos sociais, aos quais fazem jus</w:t>
      </w:r>
      <w:proofErr w:type="gramEnd"/>
      <w:r w:rsidR="00AD7EFB">
        <w:rPr>
          <w:rFonts w:ascii="Arial" w:hAnsi="Arial" w:cs="Arial"/>
          <w:sz w:val="24"/>
          <w:szCs w:val="24"/>
        </w:rPr>
        <w:t xml:space="preserve">. </w:t>
      </w:r>
    </w:p>
    <w:p w:rsidR="00AD7EFB" w:rsidRDefault="00AD7EFB" w:rsidP="002F2B7C">
      <w:pPr>
        <w:pStyle w:val="PargrafodaLista"/>
        <w:numPr>
          <w:ilvl w:val="0"/>
          <w:numId w:val="1"/>
        </w:numPr>
        <w:spacing w:after="100" w:afterAutospacing="1" w:line="360" w:lineRule="auto"/>
        <w:jc w:val="both"/>
        <w:rPr>
          <w:rFonts w:ascii="Arial" w:hAnsi="Arial" w:cs="Arial"/>
          <w:sz w:val="24"/>
          <w:szCs w:val="24"/>
        </w:rPr>
      </w:pPr>
      <w:r>
        <w:rPr>
          <w:rFonts w:ascii="Arial" w:hAnsi="Arial" w:cs="Arial"/>
          <w:sz w:val="24"/>
          <w:szCs w:val="24"/>
        </w:rPr>
        <w:t xml:space="preserve">Desde 1980 as comunidades quilombolas de Alcântara vem sofrendo deliberada e reiteradamente com os atos do Estado brasileiro que, ao cabo, negam os direitos destas comunidades. </w:t>
      </w:r>
    </w:p>
    <w:p w:rsidR="00AD7EFB" w:rsidRDefault="00AD7EFB" w:rsidP="002F2B7C">
      <w:pPr>
        <w:pStyle w:val="PargrafodaLista"/>
        <w:numPr>
          <w:ilvl w:val="0"/>
          <w:numId w:val="1"/>
        </w:numPr>
        <w:spacing w:after="100" w:afterAutospacing="1" w:line="360" w:lineRule="auto"/>
        <w:jc w:val="both"/>
        <w:rPr>
          <w:rFonts w:ascii="Arial" w:hAnsi="Arial" w:cs="Arial"/>
          <w:sz w:val="24"/>
          <w:szCs w:val="24"/>
        </w:rPr>
      </w:pPr>
      <w:r>
        <w:rPr>
          <w:rFonts w:ascii="Arial" w:hAnsi="Arial" w:cs="Arial"/>
          <w:sz w:val="24"/>
          <w:szCs w:val="24"/>
        </w:rPr>
        <w:t xml:space="preserve">Ainda na década de 1980, foram compulsoriamente deslocadas 312 famílias de 23 povoados do litoral do município e assentadas as 07 (sete) agrovilas especialmente construídas para o este fim. E mesmo assim, estas famílias alegam abandono e a falta de indenização ou reparação pelos </w:t>
      </w:r>
      <w:r>
        <w:rPr>
          <w:rFonts w:ascii="Arial" w:hAnsi="Arial" w:cs="Arial"/>
          <w:sz w:val="24"/>
          <w:szCs w:val="24"/>
        </w:rPr>
        <w:lastRenderedPageBreak/>
        <w:t xml:space="preserve">danos sofridos e tão pouco tiveram seu direito de propriedade </w:t>
      </w:r>
      <w:proofErr w:type="gramStart"/>
      <w:r>
        <w:rPr>
          <w:rFonts w:ascii="Arial" w:hAnsi="Arial" w:cs="Arial"/>
          <w:sz w:val="24"/>
          <w:szCs w:val="24"/>
        </w:rPr>
        <w:t>coletiva reconhecido</w:t>
      </w:r>
      <w:proofErr w:type="gramEnd"/>
      <w:r>
        <w:rPr>
          <w:rFonts w:ascii="Arial" w:hAnsi="Arial" w:cs="Arial"/>
          <w:sz w:val="24"/>
          <w:szCs w:val="24"/>
        </w:rPr>
        <w:t>.</w:t>
      </w:r>
    </w:p>
    <w:p w:rsidR="00573D5B" w:rsidRDefault="00AD7EFB" w:rsidP="002F2B7C">
      <w:pPr>
        <w:pStyle w:val="PargrafodaLista"/>
        <w:numPr>
          <w:ilvl w:val="0"/>
          <w:numId w:val="1"/>
        </w:numPr>
        <w:spacing w:after="100" w:afterAutospacing="1" w:line="360" w:lineRule="auto"/>
        <w:jc w:val="both"/>
        <w:rPr>
          <w:rFonts w:ascii="Arial" w:hAnsi="Arial" w:cs="Arial"/>
          <w:sz w:val="24"/>
          <w:szCs w:val="24"/>
        </w:rPr>
      </w:pPr>
      <w:r>
        <w:rPr>
          <w:rFonts w:ascii="Arial" w:hAnsi="Arial" w:cs="Arial"/>
          <w:sz w:val="24"/>
          <w:szCs w:val="24"/>
        </w:rPr>
        <w:t>As comunidades quilombolas que ainda residem em torno do litoral da base</w:t>
      </w:r>
      <w:r w:rsidR="00573D5B">
        <w:rPr>
          <w:rFonts w:ascii="Arial" w:hAnsi="Arial" w:cs="Arial"/>
          <w:sz w:val="24"/>
          <w:szCs w:val="24"/>
        </w:rPr>
        <w:t xml:space="preserve"> de Alcântara</w:t>
      </w:r>
      <w:r>
        <w:rPr>
          <w:rFonts w:ascii="Arial" w:hAnsi="Arial" w:cs="Arial"/>
          <w:sz w:val="24"/>
          <w:szCs w:val="24"/>
        </w:rPr>
        <w:t>, encontram-se com medo, pois o governo brasileiro insiste em sustentar a concepção original</w:t>
      </w:r>
      <w:r w:rsidR="00573D5B">
        <w:rPr>
          <w:rFonts w:ascii="Arial" w:hAnsi="Arial" w:cs="Arial"/>
          <w:sz w:val="24"/>
          <w:szCs w:val="24"/>
        </w:rPr>
        <w:t xml:space="preserve"> do CLA e expandi-lo ao logo do litoral do município, afetando, novamente, dezenas de comunidades quilombolas, sem que as devidas reparações e respostas aos problemas inerentes à fase de instalação do referido Centro tenham sido apresentadas e satisfeitas. </w:t>
      </w:r>
    </w:p>
    <w:p w:rsidR="00AD7EFB" w:rsidRDefault="00AD7EFB" w:rsidP="002F2B7C">
      <w:pPr>
        <w:pStyle w:val="PargrafodaLista"/>
        <w:numPr>
          <w:ilvl w:val="0"/>
          <w:numId w:val="1"/>
        </w:numPr>
        <w:spacing w:after="100" w:afterAutospacing="1" w:line="360" w:lineRule="auto"/>
        <w:jc w:val="both"/>
        <w:rPr>
          <w:rFonts w:ascii="Arial" w:hAnsi="Arial" w:cs="Arial"/>
          <w:sz w:val="24"/>
          <w:szCs w:val="24"/>
        </w:rPr>
      </w:pPr>
      <w:r>
        <w:rPr>
          <w:rFonts w:ascii="Arial" w:hAnsi="Arial" w:cs="Arial"/>
          <w:sz w:val="24"/>
          <w:szCs w:val="24"/>
        </w:rPr>
        <w:t xml:space="preserve">  </w:t>
      </w:r>
      <w:r w:rsidR="00B549BE">
        <w:rPr>
          <w:rFonts w:ascii="Arial" w:hAnsi="Arial" w:cs="Arial"/>
          <w:sz w:val="24"/>
          <w:szCs w:val="24"/>
        </w:rPr>
        <w:t>Há</w:t>
      </w:r>
      <w:r w:rsidR="00573D5B">
        <w:rPr>
          <w:rFonts w:ascii="Arial" w:hAnsi="Arial" w:cs="Arial"/>
          <w:sz w:val="24"/>
          <w:szCs w:val="24"/>
        </w:rPr>
        <w:t xml:space="preserve"> grave violação de direitos humanos em relação ao governo federal a estas comunidades, uma vez que o Executivo Federal ao longo de todos os anos ainda guarda estreita relação com o regime ditatorial característico da época de sua instalação, uma vez que nega a existência das comunidades na região e as coloca à margem de qualquer tipo de participação, sobretudo, no espaço decisório acerca do uso e gestão do território tradicional ocupado, há décadas, por estas comunidades. </w:t>
      </w:r>
    </w:p>
    <w:p w:rsidR="00274DF1" w:rsidRDefault="00274DF1" w:rsidP="002F2B7C">
      <w:pPr>
        <w:pStyle w:val="PargrafodaLista"/>
        <w:numPr>
          <w:ilvl w:val="0"/>
          <w:numId w:val="1"/>
        </w:numPr>
        <w:spacing w:after="100" w:afterAutospacing="1" w:line="360" w:lineRule="auto"/>
        <w:jc w:val="both"/>
        <w:rPr>
          <w:rFonts w:ascii="Arial" w:hAnsi="Arial" w:cs="Arial"/>
          <w:sz w:val="24"/>
          <w:szCs w:val="24"/>
        </w:rPr>
      </w:pPr>
      <w:r>
        <w:rPr>
          <w:rFonts w:ascii="Arial" w:hAnsi="Arial" w:cs="Arial"/>
          <w:sz w:val="24"/>
          <w:szCs w:val="24"/>
        </w:rPr>
        <w:t xml:space="preserve">Em 2008, o </w:t>
      </w:r>
      <w:r w:rsidR="00573D5B">
        <w:rPr>
          <w:rFonts w:ascii="Arial" w:hAnsi="Arial" w:cs="Arial"/>
          <w:sz w:val="24"/>
          <w:szCs w:val="24"/>
        </w:rPr>
        <w:t>Relatório</w:t>
      </w:r>
      <w:r>
        <w:rPr>
          <w:rFonts w:ascii="Arial" w:hAnsi="Arial" w:cs="Arial"/>
          <w:sz w:val="24"/>
          <w:szCs w:val="24"/>
        </w:rPr>
        <w:t xml:space="preserve"> Técnico de identificação e Delimitação (RTID) foi publicado pelo INCRA na imprensa Oficial brasileira sinalizando o fim do impasse que se arrastava por 30 anos (trinta) anos.</w:t>
      </w:r>
    </w:p>
    <w:p w:rsidR="00A3200E" w:rsidRDefault="00274DF1" w:rsidP="002F2B7C">
      <w:pPr>
        <w:pStyle w:val="PargrafodaLista"/>
        <w:numPr>
          <w:ilvl w:val="0"/>
          <w:numId w:val="1"/>
        </w:numPr>
        <w:spacing w:after="100" w:afterAutospacing="1" w:line="360" w:lineRule="auto"/>
        <w:jc w:val="both"/>
        <w:rPr>
          <w:rFonts w:ascii="Arial" w:hAnsi="Arial" w:cs="Arial"/>
          <w:sz w:val="24"/>
          <w:szCs w:val="24"/>
        </w:rPr>
      </w:pPr>
      <w:r>
        <w:rPr>
          <w:rFonts w:ascii="Arial" w:hAnsi="Arial" w:cs="Arial"/>
          <w:sz w:val="24"/>
          <w:szCs w:val="24"/>
        </w:rPr>
        <w:t>Em 2009, a Advocacia Geral da União, instalou procedimento de conciliação para composição dos interesses</w:t>
      </w:r>
      <w:r w:rsidR="00CA30BD">
        <w:rPr>
          <w:rFonts w:ascii="Arial" w:hAnsi="Arial" w:cs="Arial"/>
          <w:sz w:val="24"/>
          <w:szCs w:val="24"/>
        </w:rPr>
        <w:t xml:space="preserve"> da Administração Pública Federal, no que tange ao programa </w:t>
      </w:r>
      <w:r w:rsidR="00A3200E">
        <w:rPr>
          <w:rFonts w:ascii="Arial" w:hAnsi="Arial" w:cs="Arial"/>
          <w:sz w:val="24"/>
          <w:szCs w:val="24"/>
        </w:rPr>
        <w:t>aeroespacial brasileiro cujo</w:t>
      </w:r>
      <w:r w:rsidR="00CA30BD">
        <w:rPr>
          <w:rFonts w:ascii="Arial" w:hAnsi="Arial" w:cs="Arial"/>
          <w:sz w:val="24"/>
          <w:szCs w:val="24"/>
        </w:rPr>
        <w:t xml:space="preserve"> resultado nunca foi comunicado as comunidades de Alcântara, à revelia do direito de consulta aludido pela convenção 169 da Organização Internacional do Trabalho sobre Povos Indígenas e Tribais, restando desde então, </w:t>
      </w:r>
      <w:r w:rsidR="00A3200E">
        <w:rPr>
          <w:rFonts w:ascii="Arial" w:hAnsi="Arial" w:cs="Arial"/>
          <w:sz w:val="24"/>
          <w:szCs w:val="24"/>
        </w:rPr>
        <w:t>paralisado todo processo de regulamentação e titulação do território.</w:t>
      </w:r>
    </w:p>
    <w:p w:rsidR="00573D5B" w:rsidRDefault="00274DF1" w:rsidP="002F2B7C">
      <w:pPr>
        <w:pStyle w:val="PargrafodaLista"/>
        <w:numPr>
          <w:ilvl w:val="0"/>
          <w:numId w:val="1"/>
        </w:numPr>
        <w:spacing w:after="100" w:afterAutospacing="1" w:line="360" w:lineRule="auto"/>
        <w:jc w:val="both"/>
        <w:rPr>
          <w:rFonts w:ascii="Arial" w:hAnsi="Arial" w:cs="Arial"/>
          <w:sz w:val="24"/>
          <w:szCs w:val="24"/>
        </w:rPr>
      </w:pPr>
      <w:r>
        <w:rPr>
          <w:rFonts w:ascii="Arial" w:hAnsi="Arial" w:cs="Arial"/>
          <w:sz w:val="24"/>
          <w:szCs w:val="24"/>
        </w:rPr>
        <w:lastRenderedPageBreak/>
        <w:t xml:space="preserve">Desde o início </w:t>
      </w:r>
      <w:proofErr w:type="gramStart"/>
      <w:r>
        <w:rPr>
          <w:rFonts w:ascii="Arial" w:hAnsi="Arial" w:cs="Arial"/>
          <w:sz w:val="24"/>
          <w:szCs w:val="24"/>
        </w:rPr>
        <w:t>do governo Temer</w:t>
      </w:r>
      <w:proofErr w:type="gramEnd"/>
      <w:r w:rsidR="00CA30BD">
        <w:rPr>
          <w:rFonts w:ascii="Arial" w:hAnsi="Arial" w:cs="Arial"/>
          <w:sz w:val="24"/>
          <w:szCs w:val="24"/>
        </w:rPr>
        <w:t xml:space="preserve"> </w:t>
      </w:r>
      <w:r w:rsidR="00F91413">
        <w:rPr>
          <w:rFonts w:ascii="Arial" w:hAnsi="Arial" w:cs="Arial"/>
          <w:sz w:val="24"/>
          <w:szCs w:val="24"/>
        </w:rPr>
        <w:t>há</w:t>
      </w:r>
      <w:r w:rsidR="006D2D79">
        <w:rPr>
          <w:rFonts w:ascii="Arial" w:hAnsi="Arial" w:cs="Arial"/>
          <w:sz w:val="24"/>
          <w:szCs w:val="24"/>
        </w:rPr>
        <w:t xml:space="preserve"> forte pressão para a expansão do CLA </w:t>
      </w:r>
      <w:r w:rsidR="00F91413">
        <w:rPr>
          <w:rFonts w:ascii="Arial" w:hAnsi="Arial" w:cs="Arial"/>
          <w:sz w:val="24"/>
          <w:szCs w:val="24"/>
        </w:rPr>
        <w:t>em situação de grave violação aos direitos humanos da comunidade quilombola.</w:t>
      </w:r>
    </w:p>
    <w:p w:rsidR="00F91413" w:rsidRDefault="00F91413" w:rsidP="002F2B7C">
      <w:pPr>
        <w:pStyle w:val="PargrafodaLista"/>
        <w:numPr>
          <w:ilvl w:val="0"/>
          <w:numId w:val="1"/>
        </w:numPr>
        <w:spacing w:after="100" w:afterAutospacing="1" w:line="360" w:lineRule="auto"/>
        <w:jc w:val="both"/>
        <w:rPr>
          <w:rFonts w:ascii="Arial" w:hAnsi="Arial" w:cs="Arial"/>
          <w:sz w:val="24"/>
          <w:szCs w:val="24"/>
        </w:rPr>
      </w:pPr>
      <w:r w:rsidRPr="00F65F66">
        <w:rPr>
          <w:rFonts w:ascii="Arial" w:hAnsi="Arial" w:cs="Arial"/>
          <w:sz w:val="24"/>
          <w:szCs w:val="24"/>
        </w:rPr>
        <w:t xml:space="preserve">É importante frisar que o CLA funciona sem a devida licença ambiental há 38 anos, em grave afronta a Constituição da Republica de 1988, que exige de grandes empreendimentos o estudo de impacto ambiental e o respectivo relatório do impacto ambiental (EIA/RIMA). </w:t>
      </w:r>
    </w:p>
    <w:p w:rsidR="002F2B7C" w:rsidRPr="00F65F66" w:rsidRDefault="002F2B7C" w:rsidP="002F2B7C">
      <w:pPr>
        <w:pStyle w:val="PargrafodaLista"/>
        <w:spacing w:after="100" w:afterAutospacing="1" w:line="360" w:lineRule="auto"/>
        <w:ind w:left="1854"/>
        <w:jc w:val="both"/>
        <w:rPr>
          <w:rFonts w:ascii="Arial" w:hAnsi="Arial" w:cs="Arial"/>
          <w:sz w:val="24"/>
          <w:szCs w:val="24"/>
        </w:rPr>
      </w:pPr>
    </w:p>
    <w:p w:rsidR="0072799F" w:rsidRDefault="0072799F" w:rsidP="002F2B7C">
      <w:pPr>
        <w:spacing w:after="100" w:afterAutospacing="1" w:line="360" w:lineRule="auto"/>
        <w:ind w:firstLine="1134"/>
        <w:jc w:val="both"/>
        <w:rPr>
          <w:rFonts w:ascii="Arial" w:hAnsi="Arial" w:cs="Arial"/>
          <w:b/>
          <w:sz w:val="24"/>
          <w:szCs w:val="24"/>
        </w:rPr>
      </w:pPr>
      <w:r w:rsidRPr="00BE1190">
        <w:rPr>
          <w:rFonts w:ascii="Arial" w:hAnsi="Arial" w:cs="Arial"/>
          <w:b/>
          <w:sz w:val="24"/>
          <w:szCs w:val="24"/>
        </w:rPr>
        <w:t>APOIO</w:t>
      </w:r>
    </w:p>
    <w:p w:rsidR="002F2B7C" w:rsidRPr="00BE1190" w:rsidRDefault="002F2B7C" w:rsidP="002F2B7C">
      <w:pPr>
        <w:spacing w:after="100" w:afterAutospacing="1" w:line="360" w:lineRule="auto"/>
        <w:ind w:firstLine="1134"/>
        <w:jc w:val="both"/>
        <w:rPr>
          <w:rFonts w:ascii="Arial" w:hAnsi="Arial" w:cs="Arial"/>
          <w:b/>
          <w:sz w:val="24"/>
          <w:szCs w:val="24"/>
        </w:rPr>
      </w:pPr>
    </w:p>
    <w:p w:rsidR="0072799F" w:rsidRDefault="0072799F" w:rsidP="002F2B7C">
      <w:pPr>
        <w:spacing w:after="100" w:afterAutospacing="1" w:line="360" w:lineRule="auto"/>
        <w:ind w:firstLine="1134"/>
        <w:jc w:val="both"/>
        <w:rPr>
          <w:rFonts w:ascii="Arial" w:hAnsi="Arial" w:cs="Arial"/>
          <w:b/>
          <w:sz w:val="24"/>
          <w:szCs w:val="24"/>
        </w:rPr>
      </w:pPr>
      <w:r w:rsidRPr="00BE1190">
        <w:rPr>
          <w:rFonts w:ascii="Arial" w:hAnsi="Arial" w:cs="Arial"/>
          <w:sz w:val="24"/>
          <w:szCs w:val="24"/>
        </w:rPr>
        <w:t>A</w:t>
      </w:r>
      <w:r>
        <w:rPr>
          <w:rFonts w:ascii="Arial" w:hAnsi="Arial" w:cs="Arial"/>
          <w:sz w:val="24"/>
          <w:szCs w:val="24"/>
        </w:rPr>
        <w:t>gradecemos ao</w:t>
      </w:r>
      <w:r w:rsidRPr="00BE1190">
        <w:rPr>
          <w:rFonts w:ascii="Arial" w:hAnsi="Arial" w:cs="Arial"/>
          <w:sz w:val="24"/>
          <w:szCs w:val="24"/>
        </w:rPr>
        <w:t xml:space="preserve"> apoio logístico </w:t>
      </w:r>
      <w:r w:rsidR="00F91413">
        <w:rPr>
          <w:rFonts w:ascii="Arial" w:hAnsi="Arial" w:cs="Arial"/>
          <w:sz w:val="24"/>
          <w:szCs w:val="24"/>
        </w:rPr>
        <w:t>do Governo do Estado do Maranhão</w:t>
      </w:r>
      <w:r>
        <w:rPr>
          <w:rFonts w:ascii="Arial" w:hAnsi="Arial" w:cs="Arial"/>
          <w:sz w:val="24"/>
          <w:szCs w:val="24"/>
        </w:rPr>
        <w:t xml:space="preserve"> e</w:t>
      </w:r>
      <w:r w:rsidRPr="00BE1190">
        <w:rPr>
          <w:rFonts w:ascii="Arial" w:hAnsi="Arial" w:cs="Arial"/>
          <w:sz w:val="24"/>
          <w:szCs w:val="24"/>
        </w:rPr>
        <w:t xml:space="preserve"> da </w:t>
      </w:r>
      <w:r>
        <w:rPr>
          <w:rFonts w:ascii="Arial" w:hAnsi="Arial" w:cs="Arial"/>
          <w:sz w:val="24"/>
          <w:szCs w:val="24"/>
        </w:rPr>
        <w:t>Secretaria</w:t>
      </w:r>
      <w:r w:rsidR="00F91413">
        <w:rPr>
          <w:rFonts w:ascii="Arial" w:hAnsi="Arial" w:cs="Arial"/>
          <w:sz w:val="24"/>
          <w:szCs w:val="24"/>
        </w:rPr>
        <w:t xml:space="preserve"> de</w:t>
      </w:r>
      <w:r>
        <w:rPr>
          <w:rFonts w:ascii="Arial" w:hAnsi="Arial" w:cs="Arial"/>
          <w:sz w:val="24"/>
          <w:szCs w:val="24"/>
        </w:rPr>
        <w:t xml:space="preserve"> </w:t>
      </w:r>
      <w:r w:rsidR="00F91413" w:rsidRPr="009F7120">
        <w:rPr>
          <w:rFonts w:ascii="Arial" w:hAnsi="Arial" w:cs="Arial"/>
          <w:sz w:val="24"/>
          <w:szCs w:val="24"/>
        </w:rPr>
        <w:t>Estado dos Direitos Humanos e Participação Popular</w:t>
      </w:r>
      <w:r w:rsidRPr="00826028">
        <w:rPr>
          <w:rFonts w:ascii="Arial" w:hAnsi="Arial" w:cs="Arial"/>
          <w:sz w:val="24"/>
          <w:szCs w:val="24"/>
        </w:rPr>
        <w:t xml:space="preserve">, </w:t>
      </w:r>
      <w:r w:rsidR="00F91413">
        <w:rPr>
          <w:rFonts w:ascii="Arial" w:hAnsi="Arial" w:cs="Arial"/>
          <w:sz w:val="24"/>
          <w:szCs w:val="24"/>
        </w:rPr>
        <w:t>do Governo do Maranhão, especialmente ao Secretário e aos</w:t>
      </w:r>
      <w:r>
        <w:rPr>
          <w:rFonts w:ascii="Arial" w:hAnsi="Arial" w:cs="Arial"/>
          <w:sz w:val="24"/>
          <w:szCs w:val="24"/>
        </w:rPr>
        <w:t xml:space="preserve"> servidores destas instituições. </w:t>
      </w:r>
    </w:p>
    <w:p w:rsidR="002F2B7C" w:rsidRDefault="0072799F" w:rsidP="002F2B7C">
      <w:pPr>
        <w:spacing w:after="100" w:afterAutospacing="1" w:line="360" w:lineRule="auto"/>
        <w:ind w:firstLine="1134"/>
        <w:jc w:val="both"/>
        <w:rPr>
          <w:rFonts w:ascii="Arial" w:hAnsi="Arial" w:cs="Arial"/>
          <w:b/>
          <w:sz w:val="24"/>
          <w:szCs w:val="24"/>
        </w:rPr>
      </w:pPr>
      <w:r>
        <w:rPr>
          <w:rFonts w:ascii="Arial" w:hAnsi="Arial" w:cs="Arial"/>
          <w:b/>
          <w:sz w:val="24"/>
          <w:szCs w:val="24"/>
        </w:rPr>
        <w:t>RECOMENDAÇÕES</w:t>
      </w:r>
    </w:p>
    <w:p w:rsidR="0072799F" w:rsidRPr="00C86B32" w:rsidRDefault="0072799F" w:rsidP="002F2B7C">
      <w:pPr>
        <w:spacing w:after="100" w:afterAutospacing="1" w:line="360" w:lineRule="auto"/>
        <w:ind w:firstLine="1134"/>
        <w:jc w:val="both"/>
        <w:rPr>
          <w:rFonts w:ascii="Arial" w:hAnsi="Arial" w:cs="Arial"/>
          <w:sz w:val="24"/>
          <w:szCs w:val="24"/>
        </w:rPr>
      </w:pPr>
      <w:r>
        <w:rPr>
          <w:rFonts w:ascii="Arial" w:hAnsi="Arial" w:cs="Arial"/>
          <w:sz w:val="24"/>
          <w:szCs w:val="24"/>
        </w:rPr>
        <w:t>Recomendamos</w:t>
      </w:r>
      <w:r w:rsidRPr="00C86B32">
        <w:rPr>
          <w:rFonts w:ascii="Arial" w:hAnsi="Arial" w:cs="Arial"/>
          <w:sz w:val="24"/>
          <w:szCs w:val="24"/>
        </w:rPr>
        <w:t>:</w:t>
      </w:r>
    </w:p>
    <w:p w:rsidR="0072799F" w:rsidRPr="00BE1190" w:rsidRDefault="0072799F" w:rsidP="002F2B7C">
      <w:pPr>
        <w:spacing w:after="100" w:afterAutospacing="1" w:line="360" w:lineRule="auto"/>
        <w:ind w:firstLine="1134"/>
        <w:jc w:val="both"/>
        <w:rPr>
          <w:rFonts w:ascii="Arial" w:hAnsi="Arial" w:cs="Arial"/>
          <w:sz w:val="24"/>
          <w:szCs w:val="24"/>
        </w:rPr>
      </w:pPr>
      <w:r w:rsidRPr="00BE1190">
        <w:rPr>
          <w:rFonts w:ascii="Arial" w:hAnsi="Arial" w:cs="Arial"/>
          <w:sz w:val="24"/>
          <w:szCs w:val="24"/>
        </w:rPr>
        <w:t>-</w:t>
      </w:r>
      <w:r w:rsidR="00F65F66">
        <w:rPr>
          <w:rFonts w:ascii="Arial" w:hAnsi="Arial" w:cs="Arial"/>
          <w:sz w:val="24"/>
          <w:szCs w:val="24"/>
        </w:rPr>
        <w:t>A imediata titulação do território quilombola de Alcântara, nos termos do Relatório Técnico de Identificação e Delimitação publicado pelo Instituto Nacional de Colonização e Reforma Agrária (INCRA) em 04 de novembro de 2008</w:t>
      </w:r>
      <w:r>
        <w:rPr>
          <w:rFonts w:ascii="Arial" w:hAnsi="Arial" w:cs="Arial"/>
          <w:sz w:val="24"/>
          <w:szCs w:val="24"/>
        </w:rPr>
        <w:t>;</w:t>
      </w:r>
    </w:p>
    <w:p w:rsidR="0072799F" w:rsidRDefault="0072799F" w:rsidP="002F2B7C">
      <w:pPr>
        <w:spacing w:after="100" w:afterAutospacing="1" w:line="360" w:lineRule="auto"/>
        <w:ind w:firstLine="1134"/>
        <w:jc w:val="both"/>
        <w:rPr>
          <w:rFonts w:ascii="Arial" w:hAnsi="Arial" w:cs="Arial"/>
          <w:sz w:val="24"/>
          <w:szCs w:val="24"/>
        </w:rPr>
      </w:pPr>
      <w:r>
        <w:rPr>
          <w:rFonts w:ascii="Arial" w:hAnsi="Arial" w:cs="Arial"/>
          <w:sz w:val="24"/>
          <w:szCs w:val="24"/>
        </w:rPr>
        <w:t xml:space="preserve">- a observância em todo o processo da Resolução nº 10 do Conselho Nacional de Direitos Humanos que dispõe sobre soluções garantidoras de direitos humanos e medidas preventivas em situações de conflitos fundiários coletivos rurais e urbanos; </w:t>
      </w:r>
    </w:p>
    <w:p w:rsidR="0072799F" w:rsidRDefault="0072799F" w:rsidP="002F2B7C">
      <w:pPr>
        <w:spacing w:after="100" w:afterAutospacing="1" w:line="360" w:lineRule="auto"/>
        <w:ind w:firstLine="1134"/>
        <w:jc w:val="both"/>
        <w:rPr>
          <w:rFonts w:ascii="Arial" w:hAnsi="Arial" w:cs="Arial"/>
          <w:sz w:val="24"/>
          <w:szCs w:val="24"/>
        </w:rPr>
      </w:pPr>
      <w:r>
        <w:rPr>
          <w:rFonts w:ascii="Arial" w:hAnsi="Arial" w:cs="Arial"/>
          <w:sz w:val="24"/>
          <w:szCs w:val="24"/>
        </w:rPr>
        <w:t>-</w:t>
      </w:r>
      <w:r w:rsidR="00F65F66">
        <w:rPr>
          <w:rFonts w:ascii="Arial" w:hAnsi="Arial" w:cs="Arial"/>
          <w:sz w:val="24"/>
          <w:szCs w:val="24"/>
        </w:rPr>
        <w:t xml:space="preserve"> o cumprimento da Sentença judicial prolatada nos autos do processo n° 2008.37.00.003691-5, em que o governo brasileiro se compromete </w:t>
      </w:r>
      <w:r w:rsidR="00F65F66">
        <w:rPr>
          <w:rFonts w:ascii="Arial" w:hAnsi="Arial" w:cs="Arial"/>
          <w:sz w:val="24"/>
          <w:szCs w:val="24"/>
        </w:rPr>
        <w:lastRenderedPageBreak/>
        <w:t>a não realizar novos deslocamentos das comunidades quilombolas de Alcântara, tampouco, expandir o CLA sobre o território destas comunidades</w:t>
      </w:r>
      <w:r>
        <w:rPr>
          <w:rFonts w:ascii="Arial" w:hAnsi="Arial" w:cs="Arial"/>
          <w:sz w:val="24"/>
          <w:szCs w:val="24"/>
        </w:rPr>
        <w:t>.</w:t>
      </w:r>
    </w:p>
    <w:p w:rsidR="00F65F66" w:rsidRDefault="00F65F66" w:rsidP="002F2B7C">
      <w:pPr>
        <w:spacing w:after="100" w:afterAutospacing="1" w:line="360" w:lineRule="auto"/>
        <w:ind w:firstLine="1134"/>
        <w:jc w:val="both"/>
        <w:rPr>
          <w:rFonts w:ascii="Arial" w:hAnsi="Arial" w:cs="Arial"/>
          <w:sz w:val="24"/>
          <w:szCs w:val="24"/>
        </w:rPr>
      </w:pPr>
      <w:r>
        <w:rPr>
          <w:rFonts w:ascii="Arial" w:hAnsi="Arial" w:cs="Arial"/>
          <w:sz w:val="24"/>
          <w:szCs w:val="24"/>
        </w:rPr>
        <w:t xml:space="preserve">- A adoção de procedimento de consulta, pelo Estado brasileiro, junto </w:t>
      </w:r>
      <w:proofErr w:type="gramStart"/>
      <w:r>
        <w:rPr>
          <w:rFonts w:ascii="Arial" w:hAnsi="Arial" w:cs="Arial"/>
          <w:sz w:val="24"/>
          <w:szCs w:val="24"/>
        </w:rPr>
        <w:t>as</w:t>
      </w:r>
      <w:proofErr w:type="gramEnd"/>
      <w:r>
        <w:rPr>
          <w:rFonts w:ascii="Arial" w:hAnsi="Arial" w:cs="Arial"/>
          <w:sz w:val="24"/>
          <w:szCs w:val="24"/>
        </w:rPr>
        <w:t xml:space="preserve"> comunidades quilombolas de Alcântara para obtenção do seu consentimento prévio, livre e informado acerca das medidas que afetem suas vidas, principalmente, no que tange ao uso e gestão do território tradicionalmente ocupado, em observância aos tratados internacionais de direitos humanos, notadamente, a Convenção 169 da OIT;</w:t>
      </w:r>
    </w:p>
    <w:p w:rsidR="00F65F66" w:rsidRDefault="00F65F66" w:rsidP="002F2B7C">
      <w:pPr>
        <w:spacing w:after="100" w:afterAutospacing="1" w:line="360" w:lineRule="auto"/>
        <w:ind w:firstLine="1134"/>
        <w:jc w:val="both"/>
        <w:rPr>
          <w:rFonts w:ascii="Arial" w:hAnsi="Arial" w:cs="Arial"/>
          <w:sz w:val="24"/>
          <w:szCs w:val="24"/>
        </w:rPr>
      </w:pPr>
      <w:r>
        <w:rPr>
          <w:rFonts w:ascii="Arial" w:hAnsi="Arial" w:cs="Arial"/>
          <w:sz w:val="24"/>
          <w:szCs w:val="24"/>
        </w:rPr>
        <w:t xml:space="preserve">- </w:t>
      </w:r>
      <w:r w:rsidR="007E0EE3">
        <w:rPr>
          <w:rFonts w:ascii="Arial" w:hAnsi="Arial" w:cs="Arial"/>
          <w:sz w:val="24"/>
          <w:szCs w:val="24"/>
        </w:rPr>
        <w:t xml:space="preserve">Que o Estado brasileiro autorize, por meios e medidas </w:t>
      </w:r>
      <w:proofErr w:type="gramStart"/>
      <w:r w:rsidR="007E0EE3">
        <w:rPr>
          <w:rFonts w:ascii="Arial" w:hAnsi="Arial" w:cs="Arial"/>
          <w:sz w:val="24"/>
          <w:szCs w:val="24"/>
        </w:rPr>
        <w:t>necessária</w:t>
      </w:r>
      <w:proofErr w:type="gramEnd"/>
      <w:r w:rsidR="007E0EE3">
        <w:rPr>
          <w:rFonts w:ascii="Arial" w:hAnsi="Arial" w:cs="Arial"/>
          <w:sz w:val="24"/>
          <w:szCs w:val="24"/>
        </w:rPr>
        <w:t xml:space="preserve"> a permitir que as comunidades quilombolas de Alcântara participe dos lucros gerados pelas operações do CLA e suas demais atividades econômicas, como medida de reparação dos danos sofridos ao longo de Décadas. </w:t>
      </w:r>
    </w:p>
    <w:p w:rsidR="007E0EE3" w:rsidRDefault="007E0EE3" w:rsidP="002F2B7C">
      <w:pPr>
        <w:spacing w:after="100" w:afterAutospacing="1" w:line="360" w:lineRule="auto"/>
        <w:ind w:firstLine="1134"/>
        <w:jc w:val="both"/>
        <w:rPr>
          <w:rFonts w:ascii="Arial" w:hAnsi="Arial" w:cs="Arial"/>
          <w:sz w:val="24"/>
          <w:szCs w:val="24"/>
        </w:rPr>
      </w:pPr>
      <w:r>
        <w:rPr>
          <w:rFonts w:ascii="Arial" w:hAnsi="Arial" w:cs="Arial"/>
          <w:sz w:val="24"/>
          <w:szCs w:val="24"/>
        </w:rPr>
        <w:t xml:space="preserve">- que a CDHM, respeitada sua competência regimental, atue para assegurar que mediante eventual tramitação de Acordos Internacionais para uso da Base de Alcântara no Congresso Nacional sejam preservados todos os Direitos territoriais e de propriedade coletiva </w:t>
      </w:r>
      <w:r w:rsidR="00B549BE">
        <w:rPr>
          <w:rFonts w:ascii="Arial" w:hAnsi="Arial" w:cs="Arial"/>
          <w:sz w:val="24"/>
          <w:szCs w:val="24"/>
        </w:rPr>
        <w:t>das comunidades quilombolas de Alcântara, nos termos do RTID publicado pelo INCRA em 2008, em respeito ao artigo do ADCT da CF/88.</w:t>
      </w:r>
    </w:p>
    <w:p w:rsidR="00B549BE" w:rsidRDefault="00B549BE" w:rsidP="002F2B7C">
      <w:pPr>
        <w:spacing w:after="100" w:afterAutospacing="1" w:line="360" w:lineRule="auto"/>
        <w:ind w:firstLine="1134"/>
        <w:jc w:val="both"/>
        <w:rPr>
          <w:rFonts w:ascii="Arial" w:hAnsi="Arial" w:cs="Arial"/>
          <w:sz w:val="24"/>
          <w:szCs w:val="24"/>
        </w:rPr>
      </w:pPr>
      <w:r>
        <w:rPr>
          <w:rFonts w:ascii="Arial" w:hAnsi="Arial" w:cs="Arial"/>
          <w:sz w:val="24"/>
          <w:szCs w:val="24"/>
        </w:rPr>
        <w:t xml:space="preserve">- </w:t>
      </w:r>
      <w:r w:rsidR="002F2B7C">
        <w:rPr>
          <w:rFonts w:ascii="Arial" w:hAnsi="Arial" w:cs="Arial"/>
          <w:sz w:val="24"/>
          <w:szCs w:val="24"/>
        </w:rPr>
        <w:t>e</w:t>
      </w:r>
      <w:r>
        <w:rPr>
          <w:rFonts w:ascii="Arial" w:hAnsi="Arial" w:cs="Arial"/>
          <w:sz w:val="24"/>
          <w:szCs w:val="24"/>
        </w:rPr>
        <w:t>m eventual acordo internacional para o uso da Base espacial de Alcântara</w:t>
      </w:r>
      <w:r w:rsidR="002F2B7C">
        <w:rPr>
          <w:rFonts w:ascii="Arial" w:hAnsi="Arial" w:cs="Arial"/>
          <w:sz w:val="24"/>
          <w:szCs w:val="24"/>
        </w:rPr>
        <w:t xml:space="preserve"> que seja assegurado pelo Congresso Nacional o devido e efetivo direito de consulta prévia, livre e informada das comunidades quilombolas de Alcântara durante todas as fases, instancias e procedimentos de tramitação no Congresso, em observância a Convenção 169 da OIT.</w:t>
      </w:r>
    </w:p>
    <w:p w:rsidR="002F2B7C" w:rsidRDefault="002F2B7C" w:rsidP="002F2B7C">
      <w:pPr>
        <w:suppressAutoHyphens/>
        <w:spacing w:after="0" w:line="360" w:lineRule="auto"/>
        <w:jc w:val="center"/>
        <w:rPr>
          <w:rFonts w:ascii="Arial" w:eastAsia="Times New Roman" w:hAnsi="Arial" w:cs="Arial"/>
          <w:sz w:val="24"/>
          <w:szCs w:val="24"/>
        </w:rPr>
      </w:pPr>
    </w:p>
    <w:p w:rsidR="001D1E5A" w:rsidRDefault="001D1E5A" w:rsidP="002F2B7C">
      <w:pPr>
        <w:suppressAutoHyphens/>
        <w:spacing w:after="0" w:line="360" w:lineRule="auto"/>
        <w:jc w:val="center"/>
        <w:rPr>
          <w:rFonts w:ascii="Arial" w:eastAsia="Times New Roman" w:hAnsi="Arial" w:cs="Arial"/>
          <w:sz w:val="24"/>
          <w:szCs w:val="24"/>
        </w:rPr>
      </w:pPr>
      <w:r w:rsidRPr="00FB10B0">
        <w:rPr>
          <w:rFonts w:ascii="Arial" w:eastAsia="Times New Roman" w:hAnsi="Arial" w:cs="Arial"/>
          <w:sz w:val="24"/>
          <w:szCs w:val="24"/>
        </w:rPr>
        <w:t xml:space="preserve">Brasília, </w:t>
      </w:r>
      <w:r w:rsidR="002F2B7C">
        <w:rPr>
          <w:rFonts w:ascii="Arial" w:eastAsia="Times New Roman" w:hAnsi="Arial" w:cs="Arial"/>
          <w:sz w:val="24"/>
          <w:szCs w:val="24"/>
        </w:rPr>
        <w:t xml:space="preserve">10 </w:t>
      </w:r>
      <w:r w:rsidRPr="00FB10B0">
        <w:rPr>
          <w:rFonts w:ascii="Arial" w:eastAsia="Times New Roman" w:hAnsi="Arial" w:cs="Arial"/>
          <w:sz w:val="24"/>
          <w:szCs w:val="24"/>
        </w:rPr>
        <w:t xml:space="preserve">de </w:t>
      </w:r>
      <w:r w:rsidR="002F2B7C">
        <w:rPr>
          <w:rFonts w:ascii="Arial" w:eastAsia="Times New Roman" w:hAnsi="Arial" w:cs="Arial"/>
          <w:sz w:val="24"/>
          <w:szCs w:val="24"/>
        </w:rPr>
        <w:t xml:space="preserve">dezembro </w:t>
      </w:r>
      <w:r w:rsidRPr="00FB10B0">
        <w:rPr>
          <w:rFonts w:ascii="Arial" w:eastAsia="Times New Roman" w:hAnsi="Arial" w:cs="Arial"/>
          <w:sz w:val="24"/>
          <w:szCs w:val="24"/>
        </w:rPr>
        <w:t>de 2018.</w:t>
      </w:r>
    </w:p>
    <w:p w:rsidR="00C84160" w:rsidRPr="00FB10B0" w:rsidRDefault="00C84160" w:rsidP="002F2B7C">
      <w:pPr>
        <w:suppressAutoHyphens/>
        <w:spacing w:after="0" w:line="360" w:lineRule="auto"/>
        <w:jc w:val="center"/>
        <w:rPr>
          <w:rFonts w:ascii="Arial" w:eastAsia="Times New Roman" w:hAnsi="Arial" w:cs="Arial"/>
          <w:sz w:val="24"/>
          <w:szCs w:val="24"/>
        </w:rPr>
      </w:pPr>
      <w:r>
        <w:rPr>
          <w:rFonts w:ascii="Arial" w:eastAsia="Times New Roman" w:hAnsi="Arial" w:cs="Arial"/>
          <w:noProof/>
          <w:sz w:val="24"/>
          <w:szCs w:val="24"/>
          <w:lang w:eastAsia="pt-BR"/>
        </w:rPr>
        <w:drawing>
          <wp:inline distT="0" distB="0" distL="0" distR="0">
            <wp:extent cx="2344881" cy="1242813"/>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54461" cy="1247890"/>
                    </a:xfrm>
                    <a:prstGeom prst="rect">
                      <a:avLst/>
                    </a:prstGeom>
                    <a:noFill/>
                    <a:ln>
                      <a:noFill/>
                    </a:ln>
                  </pic:spPr>
                </pic:pic>
              </a:graphicData>
            </a:graphic>
          </wp:inline>
        </w:drawing>
      </w:r>
    </w:p>
    <w:p w:rsidR="001D1E5A" w:rsidRPr="00FB10B0" w:rsidRDefault="001D1E5A" w:rsidP="002F2B7C">
      <w:pPr>
        <w:suppressAutoHyphens/>
        <w:spacing w:after="0" w:line="360" w:lineRule="auto"/>
        <w:jc w:val="center"/>
        <w:rPr>
          <w:rFonts w:ascii="Arial" w:eastAsia="Times New Roman" w:hAnsi="Arial" w:cs="Arial"/>
          <w:sz w:val="24"/>
          <w:szCs w:val="24"/>
        </w:rPr>
      </w:pPr>
    </w:p>
    <w:p w:rsidR="001D1E5A" w:rsidRPr="00FB10B0" w:rsidRDefault="001D1E5A" w:rsidP="002F2B7C">
      <w:pPr>
        <w:suppressAutoHyphens/>
        <w:spacing w:after="0" w:line="360" w:lineRule="auto"/>
        <w:jc w:val="center"/>
        <w:rPr>
          <w:rFonts w:ascii="Arial" w:eastAsia="Times New Roman" w:hAnsi="Arial" w:cs="Arial"/>
          <w:sz w:val="24"/>
          <w:szCs w:val="24"/>
        </w:rPr>
      </w:pPr>
    </w:p>
    <w:p w:rsidR="001D1E5A" w:rsidRPr="002F2B7C" w:rsidRDefault="001D1E5A" w:rsidP="002F2B7C">
      <w:pPr>
        <w:suppressAutoHyphens/>
        <w:spacing w:after="0" w:line="360" w:lineRule="auto"/>
        <w:jc w:val="center"/>
        <w:rPr>
          <w:rFonts w:ascii="Arial" w:eastAsia="Times New Roman" w:hAnsi="Arial" w:cs="Arial"/>
          <w:b/>
          <w:sz w:val="24"/>
          <w:szCs w:val="24"/>
        </w:rPr>
      </w:pPr>
    </w:p>
    <w:sectPr w:rsidR="001D1E5A" w:rsidRPr="002F2B7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CC3968"/>
    <w:multiLevelType w:val="hybridMultilevel"/>
    <w:tmpl w:val="F58EF036"/>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E5A"/>
    <w:rsid w:val="00006921"/>
    <w:rsid w:val="00153526"/>
    <w:rsid w:val="001902BE"/>
    <w:rsid w:val="001D1E5A"/>
    <w:rsid w:val="0020377D"/>
    <w:rsid w:val="002259EA"/>
    <w:rsid w:val="00271269"/>
    <w:rsid w:val="00274DF1"/>
    <w:rsid w:val="002F2B7C"/>
    <w:rsid w:val="00344C1C"/>
    <w:rsid w:val="00350DEB"/>
    <w:rsid w:val="003728C2"/>
    <w:rsid w:val="00465387"/>
    <w:rsid w:val="00495157"/>
    <w:rsid w:val="00540B09"/>
    <w:rsid w:val="00573D5B"/>
    <w:rsid w:val="00574DF6"/>
    <w:rsid w:val="005B6E15"/>
    <w:rsid w:val="005E5CAC"/>
    <w:rsid w:val="006D2D79"/>
    <w:rsid w:val="0072799F"/>
    <w:rsid w:val="007311F5"/>
    <w:rsid w:val="007D71B2"/>
    <w:rsid w:val="007E0EE3"/>
    <w:rsid w:val="00856971"/>
    <w:rsid w:val="008C3465"/>
    <w:rsid w:val="00912926"/>
    <w:rsid w:val="009F7120"/>
    <w:rsid w:val="00A3200E"/>
    <w:rsid w:val="00AD7EFB"/>
    <w:rsid w:val="00B549BE"/>
    <w:rsid w:val="00BB1869"/>
    <w:rsid w:val="00C84160"/>
    <w:rsid w:val="00CA30BD"/>
    <w:rsid w:val="00E66AE2"/>
    <w:rsid w:val="00F65F66"/>
    <w:rsid w:val="00F76619"/>
    <w:rsid w:val="00F91413"/>
    <w:rsid w:val="00FB10B0"/>
    <w:rsid w:val="00FB249F"/>
    <w:rsid w:val="00FF35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E5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1D1E5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72799F"/>
    <w:pPr>
      <w:spacing w:after="0" w:line="240" w:lineRule="auto"/>
      <w:ind w:left="720"/>
      <w:contextualSpacing/>
    </w:pPr>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85697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5697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E5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1D1E5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72799F"/>
    <w:pPr>
      <w:spacing w:after="0" w:line="240" w:lineRule="auto"/>
      <w:ind w:left="720"/>
      <w:contextualSpacing/>
    </w:pPr>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85697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569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2429</Words>
  <Characters>13121</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15519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Daniel Santos Formentini</dc:creator>
  <cp:lastModifiedBy>Administrador</cp:lastModifiedBy>
  <cp:revision>4</cp:revision>
  <cp:lastPrinted>2018-12-10T19:53:00Z</cp:lastPrinted>
  <dcterms:created xsi:type="dcterms:W3CDTF">2019-07-09T19:52:00Z</dcterms:created>
  <dcterms:modified xsi:type="dcterms:W3CDTF">2019-07-09T19:54:00Z</dcterms:modified>
</cp:coreProperties>
</file>