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13360" w:rsidRDefault="00A13360">
      <w:pPr>
        <w:pStyle w:val="Ttulo2"/>
        <w:jc w:val="both"/>
        <w:rPr>
          <w:rFonts w:ascii="Calibri" w:hAnsi="Calibri"/>
        </w:rPr>
      </w:pPr>
      <w:r>
        <w:rPr>
          <w:rFonts w:ascii="Calibri" w:hAnsi="Calibri"/>
        </w:rPr>
        <w:t>Identificação do Evento</w:t>
      </w:r>
    </w:p>
    <w:tbl>
      <w:tblPr>
        <w:tblW w:w="0" w:type="auto"/>
        <w:tblLayout w:type="fixed"/>
        <w:tblCellMar>
          <w:left w:w="70" w:type="dxa"/>
          <w:right w:w="70" w:type="dxa"/>
        </w:tblCellMar>
        <w:tblLook w:val="0000"/>
      </w:tblPr>
      <w:tblGrid>
        <w:gridCol w:w="1771"/>
        <w:gridCol w:w="2268"/>
        <w:gridCol w:w="160"/>
        <w:gridCol w:w="5936"/>
      </w:tblGrid>
      <w:tr w:rsidR="00A13360">
        <w:tblPrEx>
          <w:tblCellMar>
            <w:top w:w="0" w:type="dxa"/>
            <w:bottom w:w="0" w:type="dxa"/>
          </w:tblCellMar>
        </w:tblPrEx>
        <w:trPr>
          <w:cantSplit/>
          <w:trHeight w:val="166"/>
        </w:trPr>
        <w:tc>
          <w:tcPr>
            <w:tcW w:w="1771" w:type="dxa"/>
            <w:tcBorders>
              <w:top w:val="single" w:sz="8" w:space="0" w:color="auto"/>
              <w:bottom w:val="single" w:sz="4" w:space="0" w:color="auto"/>
              <w:right w:val="single" w:sz="4" w:space="0" w:color="auto"/>
            </w:tcBorders>
            <w:shd w:val="pct15" w:color="000000" w:fill="FFFFFF"/>
            <w:vAlign w:val="center"/>
          </w:tcPr>
          <w:p w:rsidR="00A13360" w:rsidRDefault="00A13360">
            <w:pPr>
              <w:pStyle w:val="Ttulo3"/>
              <w:jc w:val="both"/>
              <w:rPr>
                <w:rFonts w:ascii="Calibri" w:hAnsi="Calibri"/>
                <w:sz w:val="20"/>
              </w:rPr>
            </w:pPr>
            <w:r>
              <w:rPr>
                <w:rFonts w:ascii="Calibri" w:hAnsi="Calibri"/>
                <w:sz w:val="20"/>
              </w:rPr>
              <w:t>Data de Início</w:t>
            </w:r>
          </w:p>
        </w:tc>
        <w:tc>
          <w:tcPr>
            <w:tcW w:w="2268" w:type="dxa"/>
            <w:tcBorders>
              <w:top w:val="single" w:sz="8" w:space="0" w:color="auto"/>
              <w:bottom w:val="single" w:sz="4" w:space="0" w:color="auto"/>
            </w:tcBorders>
            <w:shd w:val="pct15" w:color="000000" w:fill="FFFFFF"/>
            <w:vAlign w:val="center"/>
          </w:tcPr>
          <w:p w:rsidR="00A13360" w:rsidRDefault="00A13360">
            <w:pPr>
              <w:pStyle w:val="Ttulo3"/>
              <w:jc w:val="both"/>
              <w:rPr>
                <w:rFonts w:ascii="Calibri" w:hAnsi="Calibri"/>
                <w:sz w:val="20"/>
              </w:rPr>
            </w:pPr>
            <w:r>
              <w:rPr>
                <w:rFonts w:ascii="Calibri" w:hAnsi="Calibri"/>
                <w:sz w:val="20"/>
              </w:rPr>
              <w:t>Data de Término</w:t>
            </w:r>
          </w:p>
        </w:tc>
        <w:tc>
          <w:tcPr>
            <w:tcW w:w="160" w:type="dxa"/>
            <w:tcBorders>
              <w:top w:val="single" w:sz="8" w:space="0" w:color="auto"/>
              <w:bottom w:val="single" w:sz="4" w:space="0" w:color="auto"/>
              <w:right w:val="single" w:sz="4" w:space="0" w:color="auto"/>
            </w:tcBorders>
            <w:shd w:val="pct15" w:color="000000" w:fill="FFFFFF"/>
            <w:vAlign w:val="center"/>
          </w:tcPr>
          <w:p w:rsidR="00A13360" w:rsidRDefault="00A13360">
            <w:pPr>
              <w:pStyle w:val="Ttulo3"/>
              <w:jc w:val="both"/>
              <w:rPr>
                <w:rFonts w:ascii="Calibri" w:hAnsi="Calibri"/>
                <w:sz w:val="20"/>
              </w:rPr>
            </w:pPr>
          </w:p>
        </w:tc>
        <w:tc>
          <w:tcPr>
            <w:tcW w:w="5936" w:type="dxa"/>
            <w:tcBorders>
              <w:top w:val="single" w:sz="8" w:space="0" w:color="auto"/>
              <w:bottom w:val="single" w:sz="4" w:space="0" w:color="auto"/>
            </w:tcBorders>
            <w:shd w:val="pct15" w:color="000000" w:fill="FFFFFF"/>
            <w:vAlign w:val="center"/>
          </w:tcPr>
          <w:p w:rsidR="00A13360" w:rsidRDefault="00A13360">
            <w:pPr>
              <w:pStyle w:val="Ttulo3"/>
              <w:jc w:val="both"/>
              <w:rPr>
                <w:rFonts w:ascii="Calibri" w:hAnsi="Calibri"/>
                <w:sz w:val="20"/>
              </w:rPr>
            </w:pPr>
            <w:r>
              <w:rPr>
                <w:rFonts w:ascii="Calibri" w:hAnsi="Calibri"/>
                <w:sz w:val="20"/>
              </w:rPr>
              <w:t>Local</w:t>
            </w:r>
          </w:p>
        </w:tc>
      </w:tr>
      <w:tr w:rsidR="00C1155B">
        <w:tblPrEx>
          <w:tblCellMar>
            <w:top w:w="0" w:type="dxa"/>
            <w:bottom w:w="0" w:type="dxa"/>
          </w:tblCellMar>
        </w:tblPrEx>
        <w:trPr>
          <w:cantSplit/>
          <w:trHeight w:val="293"/>
        </w:trPr>
        <w:tc>
          <w:tcPr>
            <w:tcW w:w="1771" w:type="dxa"/>
            <w:tcBorders>
              <w:top w:val="single" w:sz="4" w:space="0" w:color="auto"/>
              <w:left w:val="single" w:sz="4" w:space="0" w:color="auto"/>
              <w:bottom w:val="single" w:sz="4" w:space="0" w:color="auto"/>
              <w:right w:val="single" w:sz="4" w:space="0" w:color="auto"/>
            </w:tcBorders>
            <w:vAlign w:val="center"/>
          </w:tcPr>
          <w:p w:rsidR="00C1155B" w:rsidRPr="0009020A" w:rsidRDefault="00965FC6" w:rsidP="00A13360">
            <w:pPr>
              <w:jc w:val="center"/>
              <w:rPr>
                <w:rFonts w:ascii="Arial" w:hAnsi="Arial" w:cs="Arial"/>
                <w:sz w:val="20"/>
              </w:rPr>
            </w:pPr>
            <w:r>
              <w:rPr>
                <w:rFonts w:ascii="Arial" w:hAnsi="Arial" w:cs="Arial"/>
                <w:sz w:val="20"/>
              </w:rPr>
              <w:t>14</w:t>
            </w:r>
            <w:r w:rsidR="006D1DB9">
              <w:rPr>
                <w:rFonts w:ascii="Arial" w:hAnsi="Arial" w:cs="Arial"/>
                <w:sz w:val="20"/>
              </w:rPr>
              <w:t>/11</w:t>
            </w:r>
            <w:r w:rsidR="00217BD8">
              <w:rPr>
                <w:rFonts w:ascii="Arial" w:hAnsi="Arial" w:cs="Arial"/>
                <w:sz w:val="20"/>
              </w:rPr>
              <w:t>/201</w:t>
            </w:r>
            <w:r>
              <w:rPr>
                <w:rFonts w:ascii="Arial" w:hAnsi="Arial" w:cs="Arial"/>
                <w:sz w:val="20"/>
              </w:rPr>
              <w:t>4</w:t>
            </w:r>
          </w:p>
        </w:tc>
        <w:tc>
          <w:tcPr>
            <w:tcW w:w="2428" w:type="dxa"/>
            <w:gridSpan w:val="2"/>
            <w:tcBorders>
              <w:top w:val="single" w:sz="4" w:space="0" w:color="auto"/>
              <w:left w:val="single" w:sz="4" w:space="0" w:color="auto"/>
              <w:bottom w:val="single" w:sz="4" w:space="0" w:color="auto"/>
              <w:right w:val="single" w:sz="4" w:space="0" w:color="auto"/>
            </w:tcBorders>
            <w:vAlign w:val="center"/>
          </w:tcPr>
          <w:p w:rsidR="00C1155B" w:rsidRPr="0009020A" w:rsidRDefault="00965FC6" w:rsidP="005A125B">
            <w:pPr>
              <w:pStyle w:val="Ttulo3"/>
              <w:rPr>
                <w:rFonts w:ascii="Arial" w:hAnsi="Arial" w:cs="Arial"/>
                <w:sz w:val="20"/>
              </w:rPr>
            </w:pPr>
            <w:r>
              <w:rPr>
                <w:rFonts w:ascii="Arial" w:hAnsi="Arial" w:cs="Arial"/>
                <w:sz w:val="20"/>
              </w:rPr>
              <w:t>22</w:t>
            </w:r>
            <w:r w:rsidR="00FD651D">
              <w:rPr>
                <w:rFonts w:ascii="Arial" w:hAnsi="Arial" w:cs="Arial"/>
                <w:sz w:val="20"/>
              </w:rPr>
              <w:t>/</w:t>
            </w:r>
            <w:r w:rsidR="005A125B">
              <w:rPr>
                <w:rFonts w:ascii="Arial" w:hAnsi="Arial" w:cs="Arial"/>
                <w:sz w:val="20"/>
              </w:rPr>
              <w:t>1</w:t>
            </w:r>
            <w:r w:rsidR="006D1DB9">
              <w:rPr>
                <w:rFonts w:ascii="Arial" w:hAnsi="Arial" w:cs="Arial"/>
                <w:sz w:val="20"/>
              </w:rPr>
              <w:t>1</w:t>
            </w:r>
            <w:r w:rsidR="00217BD8">
              <w:rPr>
                <w:rFonts w:ascii="Arial" w:hAnsi="Arial" w:cs="Arial"/>
                <w:sz w:val="20"/>
              </w:rPr>
              <w:t>/201</w:t>
            </w:r>
            <w:r>
              <w:rPr>
                <w:rFonts w:ascii="Arial" w:hAnsi="Arial" w:cs="Arial"/>
                <w:sz w:val="20"/>
              </w:rPr>
              <w:t>4</w:t>
            </w:r>
          </w:p>
        </w:tc>
        <w:tc>
          <w:tcPr>
            <w:tcW w:w="5936" w:type="dxa"/>
            <w:tcBorders>
              <w:top w:val="single" w:sz="4" w:space="0" w:color="auto"/>
              <w:left w:val="single" w:sz="4" w:space="0" w:color="auto"/>
              <w:bottom w:val="single" w:sz="4" w:space="0" w:color="auto"/>
              <w:right w:val="single" w:sz="4" w:space="0" w:color="auto"/>
            </w:tcBorders>
            <w:vAlign w:val="center"/>
          </w:tcPr>
          <w:p w:rsidR="00C1155B" w:rsidRPr="0009020A" w:rsidRDefault="00965FC6" w:rsidP="004C7682">
            <w:pPr>
              <w:jc w:val="center"/>
              <w:rPr>
                <w:rFonts w:ascii="Arial" w:hAnsi="Arial" w:cs="Arial"/>
                <w:sz w:val="20"/>
              </w:rPr>
            </w:pPr>
            <w:r>
              <w:rPr>
                <w:rFonts w:ascii="Arial" w:hAnsi="Arial" w:cs="Arial"/>
                <w:sz w:val="20"/>
              </w:rPr>
              <w:t>REINO UNIDO</w:t>
            </w:r>
            <w:r w:rsidR="000B63FC" w:rsidRPr="0009020A">
              <w:rPr>
                <w:rFonts w:ascii="Arial" w:hAnsi="Arial" w:cs="Arial"/>
                <w:sz w:val="20"/>
              </w:rPr>
              <w:t xml:space="preserve"> - </w:t>
            </w:r>
            <w:r w:rsidR="00C1155B" w:rsidRPr="0009020A">
              <w:rPr>
                <w:rFonts w:ascii="Arial" w:hAnsi="Arial" w:cs="Arial"/>
                <w:sz w:val="20"/>
              </w:rPr>
              <w:t xml:space="preserve">PROCESSO </w:t>
            </w:r>
            <w:r>
              <w:rPr>
                <w:rFonts w:ascii="Arial" w:hAnsi="Arial" w:cs="Arial"/>
                <w:sz w:val="20"/>
              </w:rPr>
              <w:t>nº __________</w:t>
            </w:r>
          </w:p>
        </w:tc>
      </w:tr>
    </w:tbl>
    <w:p w:rsidR="00A13360" w:rsidRDefault="00A13360">
      <w:pPr>
        <w:pStyle w:val="Ttulo2"/>
        <w:jc w:val="both"/>
        <w:rPr>
          <w:rFonts w:ascii="Calibri" w:hAnsi="Calibri"/>
        </w:rPr>
      </w:pPr>
      <w:r>
        <w:rPr>
          <w:rFonts w:ascii="Calibri" w:hAnsi="Calibri"/>
        </w:rPr>
        <w:t>Participantes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3189"/>
        <w:gridCol w:w="2551"/>
        <w:gridCol w:w="1299"/>
        <w:gridCol w:w="3096"/>
      </w:tblGrid>
      <w:tr w:rsidR="00A13360">
        <w:tblPrEx>
          <w:tblCellMar>
            <w:top w:w="0" w:type="dxa"/>
            <w:bottom w:w="0" w:type="dxa"/>
          </w:tblCellMar>
        </w:tblPrEx>
        <w:trPr>
          <w:trHeight w:val="66"/>
          <w:tblHeader/>
        </w:trPr>
        <w:tc>
          <w:tcPr>
            <w:tcW w:w="3189" w:type="dxa"/>
            <w:shd w:val="pct15" w:color="000000" w:fill="FFFFFF"/>
            <w:vAlign w:val="center"/>
          </w:tcPr>
          <w:p w:rsidR="00A13360" w:rsidRDefault="00A13360">
            <w:pPr>
              <w:pStyle w:val="Ttulo3"/>
              <w:jc w:val="both"/>
              <w:rPr>
                <w:rFonts w:ascii="Calibri" w:hAnsi="Calibri"/>
                <w:sz w:val="20"/>
              </w:rPr>
            </w:pPr>
            <w:r>
              <w:rPr>
                <w:rFonts w:ascii="Calibri" w:hAnsi="Calibri"/>
                <w:sz w:val="20"/>
              </w:rPr>
              <w:t>Nome</w:t>
            </w:r>
          </w:p>
        </w:tc>
        <w:tc>
          <w:tcPr>
            <w:tcW w:w="2551" w:type="dxa"/>
            <w:shd w:val="pct15" w:color="000000" w:fill="FFFFFF"/>
            <w:vAlign w:val="center"/>
          </w:tcPr>
          <w:p w:rsidR="00A13360" w:rsidRDefault="00A13360">
            <w:pPr>
              <w:pStyle w:val="Ttulo3"/>
              <w:jc w:val="both"/>
              <w:rPr>
                <w:rFonts w:ascii="Calibri" w:hAnsi="Calibri"/>
                <w:sz w:val="20"/>
              </w:rPr>
            </w:pPr>
            <w:r>
              <w:rPr>
                <w:rFonts w:ascii="Calibri" w:hAnsi="Calibri"/>
                <w:sz w:val="20"/>
              </w:rPr>
              <w:t>Lotação</w:t>
            </w:r>
          </w:p>
        </w:tc>
        <w:tc>
          <w:tcPr>
            <w:tcW w:w="1299" w:type="dxa"/>
            <w:shd w:val="pct15" w:color="000000" w:fill="FFFFFF"/>
            <w:vAlign w:val="center"/>
          </w:tcPr>
          <w:p w:rsidR="00A13360" w:rsidRDefault="00A13360">
            <w:pPr>
              <w:pStyle w:val="Ttulo3"/>
              <w:jc w:val="both"/>
              <w:rPr>
                <w:rFonts w:ascii="Calibri" w:hAnsi="Calibri"/>
                <w:sz w:val="20"/>
              </w:rPr>
            </w:pPr>
            <w:r>
              <w:rPr>
                <w:rFonts w:ascii="Calibri" w:hAnsi="Calibri"/>
                <w:sz w:val="20"/>
              </w:rPr>
              <w:t>Ramal</w:t>
            </w:r>
          </w:p>
        </w:tc>
        <w:tc>
          <w:tcPr>
            <w:tcW w:w="3096" w:type="dxa"/>
            <w:shd w:val="pct15" w:color="000000" w:fill="FFFFFF"/>
            <w:vAlign w:val="center"/>
          </w:tcPr>
          <w:p w:rsidR="00A13360" w:rsidRDefault="00A13360">
            <w:pPr>
              <w:pStyle w:val="Ttulo3"/>
              <w:jc w:val="both"/>
              <w:rPr>
                <w:rFonts w:ascii="Calibri" w:hAnsi="Calibri"/>
                <w:sz w:val="20"/>
              </w:rPr>
            </w:pPr>
            <w:r>
              <w:rPr>
                <w:rFonts w:ascii="Calibri" w:hAnsi="Calibri"/>
                <w:sz w:val="20"/>
              </w:rPr>
              <w:t>Email</w:t>
            </w:r>
          </w:p>
        </w:tc>
      </w:tr>
      <w:tr w:rsidR="00A13360">
        <w:tblPrEx>
          <w:tblCellMar>
            <w:top w:w="0" w:type="dxa"/>
            <w:bottom w:w="0" w:type="dxa"/>
          </w:tblCellMar>
        </w:tblPrEx>
        <w:tc>
          <w:tcPr>
            <w:tcW w:w="3189" w:type="dxa"/>
          </w:tcPr>
          <w:p w:rsidR="00A13360" w:rsidRPr="0009020A" w:rsidRDefault="00433A83" w:rsidP="004C7682">
            <w:pPr>
              <w:jc w:val="both"/>
              <w:rPr>
                <w:rFonts w:ascii="Arial" w:hAnsi="Arial" w:cs="Arial"/>
                <w:sz w:val="24"/>
                <w:szCs w:val="24"/>
              </w:rPr>
            </w:pPr>
            <w:r>
              <w:rPr>
                <w:rFonts w:ascii="Arial" w:hAnsi="Arial" w:cs="Arial"/>
                <w:sz w:val="24"/>
                <w:szCs w:val="24"/>
              </w:rPr>
              <w:t xml:space="preserve">Deputado </w:t>
            </w:r>
            <w:r w:rsidR="004C7682">
              <w:rPr>
                <w:rFonts w:ascii="Arial" w:hAnsi="Arial" w:cs="Arial"/>
                <w:sz w:val="24"/>
                <w:szCs w:val="24"/>
              </w:rPr>
              <w:t>Danilo Forte</w:t>
            </w:r>
          </w:p>
        </w:tc>
        <w:tc>
          <w:tcPr>
            <w:tcW w:w="2551" w:type="dxa"/>
          </w:tcPr>
          <w:p w:rsidR="00A13360" w:rsidRPr="0009020A" w:rsidRDefault="004C7682" w:rsidP="00443EAE">
            <w:pPr>
              <w:pStyle w:val="Textodenotaderodap"/>
              <w:jc w:val="center"/>
              <w:rPr>
                <w:rFonts w:ascii="Arial" w:hAnsi="Arial" w:cs="Arial"/>
                <w:sz w:val="24"/>
                <w:szCs w:val="24"/>
              </w:rPr>
            </w:pPr>
            <w:r>
              <w:rPr>
                <w:rFonts w:ascii="Arial" w:hAnsi="Arial" w:cs="Arial"/>
                <w:sz w:val="24"/>
                <w:szCs w:val="24"/>
              </w:rPr>
              <w:t>PMDB/CE</w:t>
            </w:r>
          </w:p>
        </w:tc>
        <w:tc>
          <w:tcPr>
            <w:tcW w:w="1299" w:type="dxa"/>
          </w:tcPr>
          <w:p w:rsidR="00A13360" w:rsidRPr="0009020A" w:rsidRDefault="00A13360">
            <w:pPr>
              <w:jc w:val="both"/>
              <w:rPr>
                <w:rFonts w:ascii="Arial" w:hAnsi="Arial" w:cs="Arial"/>
                <w:sz w:val="24"/>
                <w:szCs w:val="24"/>
              </w:rPr>
            </w:pPr>
          </w:p>
        </w:tc>
        <w:tc>
          <w:tcPr>
            <w:tcW w:w="3096" w:type="dxa"/>
          </w:tcPr>
          <w:p w:rsidR="00A13360" w:rsidRPr="0009020A" w:rsidRDefault="00A13360">
            <w:pPr>
              <w:jc w:val="both"/>
              <w:rPr>
                <w:rFonts w:ascii="Arial" w:hAnsi="Arial" w:cs="Arial"/>
                <w:sz w:val="24"/>
                <w:szCs w:val="24"/>
              </w:rPr>
            </w:pPr>
          </w:p>
        </w:tc>
      </w:tr>
    </w:tbl>
    <w:p w:rsidR="00A13360" w:rsidRDefault="00A13360">
      <w:pPr>
        <w:pStyle w:val="Ttulo2"/>
        <w:jc w:val="both"/>
        <w:rPr>
          <w:rFonts w:ascii="Calibri" w:hAnsi="Calibri"/>
        </w:rPr>
      </w:pPr>
      <w:r>
        <w:rPr>
          <w:rFonts w:ascii="Calibri" w:hAnsi="Calibri"/>
        </w:rPr>
        <w:t>Objetivo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10135"/>
      </w:tblGrid>
      <w:tr w:rsidR="00A13360">
        <w:tblPrEx>
          <w:tblCellMar>
            <w:top w:w="0" w:type="dxa"/>
            <w:bottom w:w="0" w:type="dxa"/>
          </w:tblCellMar>
        </w:tblPrEx>
        <w:tc>
          <w:tcPr>
            <w:tcW w:w="10135" w:type="dxa"/>
            <w:tcBorders>
              <w:top w:val="single" w:sz="4" w:space="0" w:color="auto"/>
              <w:left w:val="single" w:sz="4" w:space="0" w:color="auto"/>
              <w:bottom w:val="single" w:sz="4" w:space="0" w:color="auto"/>
              <w:right w:val="single" w:sz="4" w:space="0" w:color="auto"/>
            </w:tcBorders>
          </w:tcPr>
          <w:p w:rsidR="00A13360" w:rsidRDefault="00C1155B" w:rsidP="00965FC6">
            <w:pPr>
              <w:jc w:val="both"/>
              <w:rPr>
                <w:rFonts w:ascii="Calibri" w:hAnsi="Calibri"/>
                <w:sz w:val="20"/>
              </w:rPr>
            </w:pPr>
            <w:r w:rsidRPr="00217BD8">
              <w:rPr>
                <w:rFonts w:ascii="Arial" w:hAnsi="Arial" w:cs="Arial"/>
                <w:sz w:val="24"/>
                <w:szCs w:val="24"/>
              </w:rPr>
              <w:t xml:space="preserve">Missão Oficial </w:t>
            </w:r>
            <w:r w:rsidR="00965FC6">
              <w:rPr>
                <w:rFonts w:ascii="Arial" w:hAnsi="Arial" w:cs="Arial"/>
                <w:sz w:val="24"/>
                <w:szCs w:val="24"/>
              </w:rPr>
              <w:t>ao Reino Unido para a Conferência Parlamentar Internacional - 2014</w:t>
            </w:r>
          </w:p>
        </w:tc>
      </w:tr>
    </w:tbl>
    <w:p w:rsidR="00A13360" w:rsidRDefault="00A13360">
      <w:pPr>
        <w:pStyle w:val="Ttulo2"/>
        <w:jc w:val="both"/>
        <w:rPr>
          <w:rFonts w:ascii="Calibri" w:hAnsi="Calibri"/>
        </w:rPr>
      </w:pPr>
      <w:r>
        <w:rPr>
          <w:rFonts w:ascii="Calibri" w:hAnsi="Calibri"/>
        </w:rPr>
        <w:t xml:space="preserve">Relatório dos temas tratados </w:t>
      </w:r>
    </w:p>
    <w:tbl>
      <w:tblPr>
        <w:tblW w:w="0" w:type="auto"/>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10257"/>
      </w:tblGrid>
      <w:tr w:rsidR="00A13360">
        <w:tblPrEx>
          <w:tblCellMar>
            <w:top w:w="0" w:type="dxa"/>
            <w:bottom w:w="0" w:type="dxa"/>
          </w:tblCellMar>
        </w:tblPrEx>
        <w:tc>
          <w:tcPr>
            <w:tcW w:w="10257" w:type="dxa"/>
          </w:tcPr>
          <w:p w:rsidR="00965FC6" w:rsidRDefault="00965FC6" w:rsidP="00965FC6">
            <w:pPr>
              <w:ind w:firstLine="1134"/>
              <w:jc w:val="both"/>
            </w:pPr>
            <w:r>
              <w:t>Em atenção ao disposto no Ato da Mesa nº 35, de 12/11/2003, que dispõe sobre a apresentação de relatório de participação em missão oficial com ônus e sua divulgação, em seu artigo 1º, o qual reza que “o</w:t>
            </w:r>
            <w:r w:rsidRPr="00306FA2">
              <w:t xml:space="preserve"> Deputado ou servidor que viajar em missão oficial com ônus de passagem área ou de diária para a Câmara dos Deputados, deverá encaminhar à Presidência da Casa, em até 15 (quinze) dias a contar da data final do evento, relatório circunstancia</w:t>
            </w:r>
            <w:r>
              <w:t xml:space="preserve">do das atividades desenvolvidas”, vimos por meio </w:t>
            </w:r>
            <w:proofErr w:type="gramStart"/>
            <w:r>
              <w:t>deste realizar</w:t>
            </w:r>
            <w:proofErr w:type="gramEnd"/>
            <w:r>
              <w:t xml:space="preserve"> o registro que se requer.</w:t>
            </w:r>
          </w:p>
          <w:p w:rsidR="00965FC6" w:rsidRDefault="00965FC6" w:rsidP="00965FC6">
            <w:pPr>
              <w:ind w:firstLine="1134"/>
              <w:jc w:val="both"/>
            </w:pPr>
            <w:r>
              <w:t xml:space="preserve">Estivemos na semana de 14 a 22 de novembro de </w:t>
            </w:r>
            <w:proofErr w:type="gramStart"/>
            <w:r>
              <w:t>2014 em Missão Oficial na cidade de Londres, capital</w:t>
            </w:r>
            <w:proofErr w:type="gramEnd"/>
            <w:r>
              <w:t xml:space="preserve"> do Reino Unido da Grã-Bretanha e Irlanda do Norte, com o objetivo de tomar parte na Conferência Parlamentar Internacional com o tema “Crescimento para o Desenvolvimento”, realizada na sede do Parlamento britânico, a qual teve como foco “o papel dos parlamentares n</w:t>
            </w:r>
            <w:r w:rsidRPr="00986B12">
              <w:t xml:space="preserve">a gestão do crescimento econômico para o desenvolvimento </w:t>
            </w:r>
            <w:r>
              <w:t xml:space="preserve">equitativo”. Na oportunidade, em conjunto com o Dep. Márcio </w:t>
            </w:r>
            <w:proofErr w:type="spellStart"/>
            <w:r>
              <w:t>Bittar</w:t>
            </w:r>
            <w:proofErr w:type="spellEnd"/>
            <w:r>
              <w:t xml:space="preserve"> (PSDB-AC), primeiro-secretário da Câmara dos Deputados, representamos o Presidente da Casa, Dep. Henrique Eduardo Alves.</w:t>
            </w:r>
          </w:p>
          <w:p w:rsidR="00965FC6" w:rsidRDefault="00965FC6" w:rsidP="00965FC6">
            <w:pPr>
              <w:ind w:firstLine="1134"/>
              <w:jc w:val="both"/>
            </w:pPr>
            <w:r>
              <w:t xml:space="preserve">No dia 17 foi realizada uma recepção oficial de boas-vindas às delegações estrangeiras, preparada pela equipe organizadora da Conferência, no Park Plaza </w:t>
            </w:r>
            <w:proofErr w:type="spellStart"/>
            <w:r>
              <w:t>County</w:t>
            </w:r>
            <w:proofErr w:type="spellEnd"/>
            <w:r>
              <w:t xml:space="preserve"> Hall Hotel. Nessa mesma ocasião foi feito cadastramento das delegações e entregues os materiais referentes à conferência.</w:t>
            </w:r>
          </w:p>
          <w:p w:rsidR="00965FC6" w:rsidRDefault="00965FC6" w:rsidP="00965FC6">
            <w:pPr>
              <w:ind w:firstLine="1134"/>
              <w:jc w:val="both"/>
            </w:pPr>
            <w:r>
              <w:t>No dia 18 de novembro teve lugar a primeira sessão formal da Conferência, com o tema: "Crescimento Econômico - causas, impactos e efeitos", que foi aberta com a apresentação de um vídeo pela Sra. Helen Clark ONZ, administradora do PNUD e ex-primeira-ministra da Nova Zelândia. A Sra. Clark enfatizou a importância do tema do crescimento econômico inclusivo e equitativo e observou que, embora o progresso econômico nos países em desenvolvimento tenha retirado centenas de milhares de pessoas da pobreza, "nem toda a gente em todos os lugares consegue sentir os ganhos com os progressos registrados ao nível global." Com cerca de um bilhão de pessoas continuando a viver em extrema pobreza, e muitos excluídos do benefício do crescimento devido ao gênero, etnia, deficiência ou orientação sexual, ela destacou o papel dos parlamentares no sentido de garantir que o crescimento seja inclusivo. A mensagem da Sra. Clark terminou com um chamado à ação: que os participantes defendam políticas que promovam os empregos e meios de subsistência, e são a favor dos pobres, e sensível às necessidades das minorias, às questões de gênero e ambientalmente responsável.</w:t>
            </w:r>
          </w:p>
          <w:p w:rsidR="00965FC6" w:rsidRDefault="00965FC6" w:rsidP="00965FC6">
            <w:pPr>
              <w:ind w:firstLine="1134"/>
              <w:jc w:val="both"/>
            </w:pPr>
            <w:r>
              <w:t xml:space="preserve"> Também falando na plenária de abertura, </w:t>
            </w:r>
            <w:proofErr w:type="spellStart"/>
            <w:r>
              <w:t>Priti</w:t>
            </w:r>
            <w:proofErr w:type="spellEnd"/>
            <w:r>
              <w:t xml:space="preserve"> </w:t>
            </w:r>
            <w:proofErr w:type="spellStart"/>
            <w:r>
              <w:t>Patel</w:t>
            </w:r>
            <w:proofErr w:type="spellEnd"/>
            <w:r>
              <w:t xml:space="preserve">, Secretária do Tesouro, delineou como os governos podem apoiar o crescimento </w:t>
            </w:r>
            <w:proofErr w:type="spellStart"/>
            <w:r>
              <w:t>eqüitativo</w:t>
            </w:r>
            <w:proofErr w:type="spellEnd"/>
            <w:r>
              <w:t xml:space="preserve">: por meio de políticas </w:t>
            </w:r>
            <w:proofErr w:type="spellStart"/>
            <w:r>
              <w:t>macro-econômicas</w:t>
            </w:r>
            <w:proofErr w:type="spellEnd"/>
            <w:r>
              <w:t xml:space="preserve"> que promovam o crescimento, a nível nacional, através da criação de empregos e meios de vida e assegurando a política fiscal justa. Ela também enfatizou a importância da inclusão de grupos tradicionalmente excluídos e marginalizados na economia e na política econômica.</w:t>
            </w:r>
          </w:p>
          <w:p w:rsidR="00965FC6" w:rsidRDefault="00965FC6" w:rsidP="00965FC6">
            <w:pPr>
              <w:ind w:firstLine="1134"/>
              <w:jc w:val="both"/>
            </w:pPr>
            <w:r>
              <w:t xml:space="preserve"> A sessão subsequente, liderada pelo Dr. </w:t>
            </w:r>
            <w:proofErr w:type="spellStart"/>
            <w:r>
              <w:t>Purna</w:t>
            </w:r>
            <w:proofErr w:type="spellEnd"/>
            <w:r>
              <w:t xml:space="preserve"> </w:t>
            </w:r>
            <w:proofErr w:type="spellStart"/>
            <w:r>
              <w:t>Sen</w:t>
            </w:r>
            <w:proofErr w:type="spellEnd"/>
            <w:r>
              <w:t xml:space="preserve"> (</w:t>
            </w:r>
            <w:proofErr w:type="spellStart"/>
            <w:r>
              <w:t>London</w:t>
            </w:r>
            <w:proofErr w:type="spellEnd"/>
            <w:r>
              <w:t xml:space="preserve"> </w:t>
            </w:r>
            <w:proofErr w:type="spellStart"/>
            <w:r>
              <w:t>School</w:t>
            </w:r>
            <w:proofErr w:type="spellEnd"/>
            <w:r>
              <w:t xml:space="preserve"> </w:t>
            </w:r>
            <w:proofErr w:type="spellStart"/>
            <w:r>
              <w:t>of</w:t>
            </w:r>
            <w:proofErr w:type="spellEnd"/>
            <w:r>
              <w:t xml:space="preserve"> </w:t>
            </w:r>
            <w:proofErr w:type="spellStart"/>
            <w:r>
              <w:t>Economics</w:t>
            </w:r>
            <w:proofErr w:type="spellEnd"/>
            <w:r>
              <w:t xml:space="preserve">), Dr. David Hudson (Universidade de Londres), o Dr. </w:t>
            </w:r>
            <w:proofErr w:type="spellStart"/>
            <w:r>
              <w:t>Dirk</w:t>
            </w:r>
            <w:proofErr w:type="spellEnd"/>
            <w:r>
              <w:t xml:space="preserve"> Willem te </w:t>
            </w:r>
            <w:proofErr w:type="spellStart"/>
            <w:r>
              <w:t>Velde</w:t>
            </w:r>
            <w:proofErr w:type="spellEnd"/>
            <w:r>
              <w:t xml:space="preserve"> (</w:t>
            </w:r>
            <w:proofErr w:type="spellStart"/>
            <w:r>
              <w:t>Overseas</w:t>
            </w:r>
            <w:proofErr w:type="spellEnd"/>
            <w:r>
              <w:t xml:space="preserve"> </w:t>
            </w:r>
            <w:proofErr w:type="spellStart"/>
            <w:r>
              <w:t>Development</w:t>
            </w:r>
            <w:proofErr w:type="spellEnd"/>
            <w:r>
              <w:t xml:space="preserve"> </w:t>
            </w:r>
            <w:proofErr w:type="spellStart"/>
            <w:r>
              <w:t>Institute</w:t>
            </w:r>
            <w:proofErr w:type="spellEnd"/>
            <w:r>
              <w:t xml:space="preserve">) e Dr. David </w:t>
            </w:r>
            <w:proofErr w:type="spellStart"/>
            <w:r>
              <w:t>Hall-Matthews</w:t>
            </w:r>
            <w:proofErr w:type="spellEnd"/>
            <w:r>
              <w:t xml:space="preserve"> (Painel de Transparência), </w:t>
            </w:r>
            <w:proofErr w:type="spellStart"/>
            <w:r>
              <w:t>exertou</w:t>
            </w:r>
            <w:proofErr w:type="spellEnd"/>
            <w:r>
              <w:t xml:space="preserve"> a conferência a identificar a sua visão de 'bom' crescimento, explorando quatro aspectos: crescimento inclusivo, sustentável, transparente e transformador. A discussão foi capturada por um ilustrador, Spike </w:t>
            </w:r>
            <w:proofErr w:type="spellStart"/>
            <w:r>
              <w:t>Sofonias</w:t>
            </w:r>
            <w:proofErr w:type="spellEnd"/>
            <w:r>
              <w:t>, e permaneceu em exposição durante o período da conferência.</w:t>
            </w:r>
          </w:p>
          <w:p w:rsidR="00965FC6" w:rsidRDefault="00965FC6" w:rsidP="00965FC6">
            <w:pPr>
              <w:ind w:firstLine="1134"/>
              <w:jc w:val="both"/>
            </w:pPr>
            <w:r>
              <w:lastRenderedPageBreak/>
              <w:t xml:space="preserve"> Na parte da tarde, os delegados foram divididos em grupos para analisar as perspectivas da economia global em um ambiente participativo e interativo, com foco na África, na Ásia e na América Latina e Caribe. A sessão sobre "África Ascendente" foi liderada por Roger </w:t>
            </w:r>
            <w:proofErr w:type="spellStart"/>
            <w:r>
              <w:t>Hearing</w:t>
            </w:r>
            <w:proofErr w:type="spellEnd"/>
            <w:r>
              <w:t xml:space="preserve"> (BBC), Dr. </w:t>
            </w:r>
            <w:proofErr w:type="spellStart"/>
            <w:r>
              <w:t>Vinaye</w:t>
            </w:r>
            <w:proofErr w:type="spellEnd"/>
            <w:r>
              <w:t xml:space="preserve"> </w:t>
            </w:r>
            <w:proofErr w:type="spellStart"/>
            <w:r>
              <w:t>Dey</w:t>
            </w:r>
            <w:proofErr w:type="spellEnd"/>
            <w:r>
              <w:t xml:space="preserve"> </w:t>
            </w:r>
            <w:proofErr w:type="spellStart"/>
            <w:r>
              <w:t>Ancharaz</w:t>
            </w:r>
            <w:proofErr w:type="spellEnd"/>
            <w:r>
              <w:t xml:space="preserve"> (Centro Internacional para o Comércio e Desenvolvimento Sustentável), o Dr. Edward Brown (Centro Africano de Transformação Econômica) e Prof. George </w:t>
            </w:r>
            <w:proofErr w:type="spellStart"/>
            <w:r>
              <w:t>Yaw-Gyan</w:t>
            </w:r>
            <w:proofErr w:type="spellEnd"/>
            <w:r>
              <w:t xml:space="preserve"> </w:t>
            </w:r>
            <w:proofErr w:type="spellStart"/>
            <w:r>
              <w:t>Baffour</w:t>
            </w:r>
            <w:proofErr w:type="spellEnd"/>
            <w:r>
              <w:t xml:space="preserve"> (Ex-Ministro das Finanças de Gana). Já a sessão sobre "O crescimento da Ásia" contou com Rita Payne (Associação de Jornalistas da </w:t>
            </w:r>
            <w:proofErr w:type="spellStart"/>
            <w:r>
              <w:t>Commonwealth</w:t>
            </w:r>
            <w:proofErr w:type="spellEnd"/>
            <w:r>
              <w:t xml:space="preserve">), Dr. </w:t>
            </w:r>
            <w:proofErr w:type="spellStart"/>
            <w:r>
              <w:t>Ganeshan</w:t>
            </w:r>
            <w:proofErr w:type="spellEnd"/>
            <w:r>
              <w:t xml:space="preserve"> </w:t>
            </w:r>
            <w:proofErr w:type="spellStart"/>
            <w:r>
              <w:t>Wignaraja</w:t>
            </w:r>
            <w:proofErr w:type="spellEnd"/>
            <w:r>
              <w:t xml:space="preserve"> (Instituto Banco de Desenvolvimento Asiático), Prof. </w:t>
            </w:r>
            <w:proofErr w:type="spellStart"/>
            <w:r>
              <w:t>Kunal</w:t>
            </w:r>
            <w:proofErr w:type="spellEnd"/>
            <w:r>
              <w:t xml:space="preserve"> </w:t>
            </w:r>
            <w:proofErr w:type="spellStart"/>
            <w:r>
              <w:t>Sen</w:t>
            </w:r>
            <w:proofErr w:type="spellEnd"/>
            <w:r>
              <w:t xml:space="preserve"> (Universidade de Manchester) e Jeff </w:t>
            </w:r>
            <w:proofErr w:type="spellStart"/>
            <w:r>
              <w:t>Ng</w:t>
            </w:r>
            <w:proofErr w:type="spellEnd"/>
            <w:r>
              <w:t xml:space="preserve"> (Standard </w:t>
            </w:r>
            <w:proofErr w:type="spellStart"/>
            <w:r>
              <w:t>Chartered</w:t>
            </w:r>
            <w:proofErr w:type="spellEnd"/>
            <w:r>
              <w:t xml:space="preserve"> </w:t>
            </w:r>
            <w:proofErr w:type="spellStart"/>
            <w:r>
              <w:t>Bank</w:t>
            </w:r>
            <w:proofErr w:type="spellEnd"/>
            <w:r>
              <w:t xml:space="preserve">). </w:t>
            </w:r>
            <w:proofErr w:type="spellStart"/>
            <w:r>
              <w:t>Humphrey</w:t>
            </w:r>
            <w:proofErr w:type="spellEnd"/>
            <w:r>
              <w:t xml:space="preserve"> </w:t>
            </w:r>
            <w:proofErr w:type="spellStart"/>
            <w:r>
              <w:t>Hawksley</w:t>
            </w:r>
            <w:proofErr w:type="spellEnd"/>
            <w:r>
              <w:t xml:space="preserve"> (BBC), </w:t>
            </w:r>
            <w:proofErr w:type="spellStart"/>
            <w:r>
              <w:t>Perla</w:t>
            </w:r>
            <w:proofErr w:type="spellEnd"/>
            <w:r>
              <w:t xml:space="preserve"> </w:t>
            </w:r>
            <w:proofErr w:type="spellStart"/>
            <w:r>
              <w:t>Buenrostro</w:t>
            </w:r>
            <w:proofErr w:type="spellEnd"/>
            <w:r>
              <w:t xml:space="preserve"> (Centro Internacional para o Comércio e Desenvolvimento Sustentável), Carlos </w:t>
            </w:r>
            <w:proofErr w:type="spellStart"/>
            <w:r>
              <w:t>Fortin</w:t>
            </w:r>
            <w:proofErr w:type="spellEnd"/>
            <w:r>
              <w:t xml:space="preserve"> (Instituto de Estudos para o Desenvolvimento) e o Sr. </w:t>
            </w:r>
            <w:proofErr w:type="spellStart"/>
            <w:r>
              <w:t>Colm</w:t>
            </w:r>
            <w:proofErr w:type="spellEnd"/>
            <w:r>
              <w:t xml:space="preserve"> </w:t>
            </w:r>
            <w:proofErr w:type="spellStart"/>
            <w:r>
              <w:t>Imbert</w:t>
            </w:r>
            <w:proofErr w:type="spellEnd"/>
            <w:r>
              <w:t xml:space="preserve"> (Deputado em Trinidad &amp; Tobago) formaram um animado painel sobre a América Latina e Caribe.</w:t>
            </w:r>
          </w:p>
          <w:p w:rsidR="00965FC6" w:rsidRDefault="00965FC6" w:rsidP="00965FC6">
            <w:pPr>
              <w:ind w:firstLine="1134"/>
              <w:jc w:val="both"/>
            </w:pPr>
            <w:r>
              <w:t xml:space="preserve"> Na plenária final do primeiro dia, presidido por Sir Roger </w:t>
            </w:r>
            <w:proofErr w:type="spellStart"/>
            <w:r>
              <w:t>Gale</w:t>
            </w:r>
            <w:proofErr w:type="spellEnd"/>
            <w:r>
              <w:t xml:space="preserve">, o deputado federal Marcio </w:t>
            </w:r>
            <w:proofErr w:type="spellStart"/>
            <w:r>
              <w:t>Bittar</w:t>
            </w:r>
            <w:proofErr w:type="spellEnd"/>
            <w:r>
              <w:t xml:space="preserve"> (PSDB-AC) explanou sobre o fenomenal crescimento do Brasil e os programas sociais e ambientais que nosso país tem apoiado, com o objetivo de fomento da capacitação econômica. Ele também destacou formas pelas quais os parlamentares podem procurar influenciar e criar políticas públicas em um sistema presidencial. O senador Pedro </w:t>
            </w:r>
            <w:proofErr w:type="spellStart"/>
            <w:r>
              <w:t>Nyong'o</w:t>
            </w:r>
            <w:proofErr w:type="spellEnd"/>
            <w:r>
              <w:t>, do Parlamento queniano, analisou as tendências em curso para os países africanos, com destaque para a boa governança como um fator comum entre os empreendedores elevados. Ele descreveu as disposições constitucionais no Quênia que consagram o papel dos parlamentares na fiscalização do orçamento do governo e da política. Sir Roger pediu em seguida aos deputados presentes para garantir que o crescimento seja de baixo para cima, atingindo os mais pobres em primeiro lugar, em vez de para o benefício dos ricos com apenas migalhas deixadas para aqueles na parte inferior.</w:t>
            </w:r>
          </w:p>
          <w:p w:rsidR="00965FC6" w:rsidRDefault="00965FC6" w:rsidP="00965FC6">
            <w:pPr>
              <w:ind w:firstLine="1134"/>
              <w:jc w:val="both"/>
            </w:pPr>
            <w:r>
              <w:t xml:space="preserve">No dia seguinte, 19 de novembro, quarta-feira, os debates giraram em torno do tema da "Mobilização de Recursos Internos" para o Crescimento Econômico. Tudo começou com um </w:t>
            </w:r>
            <w:proofErr w:type="spellStart"/>
            <w:r>
              <w:t>café-da-manhã</w:t>
            </w:r>
            <w:proofErr w:type="spellEnd"/>
            <w:r>
              <w:t xml:space="preserve"> com o tema "Oportunidades e Desafios para as pequenas empresas", dirigido pelo Sr. John </w:t>
            </w:r>
            <w:proofErr w:type="spellStart"/>
            <w:r>
              <w:t>Bercow</w:t>
            </w:r>
            <w:proofErr w:type="spellEnd"/>
            <w:r>
              <w:t xml:space="preserve">, Presidente da Câmara dos Comuns, que discutiu a importância das pequenas e médias empresas para a economia e exortou os parlamentares presentes a garantir que seus governos </w:t>
            </w:r>
            <w:proofErr w:type="spellStart"/>
            <w:r>
              <w:t>coloquem-os</w:t>
            </w:r>
            <w:proofErr w:type="spellEnd"/>
            <w:r>
              <w:t xml:space="preserve"> com importância central na legislação e formulação de políticas públicas. Também estiveram presentes representantes de ONGs que trabalham em parcerias público-privadas, como </w:t>
            </w:r>
            <w:proofErr w:type="spellStart"/>
            <w:r>
              <w:t>Care</w:t>
            </w:r>
            <w:proofErr w:type="spellEnd"/>
            <w:r>
              <w:t xml:space="preserve"> </w:t>
            </w:r>
            <w:proofErr w:type="spellStart"/>
            <w:r>
              <w:t>International</w:t>
            </w:r>
            <w:proofErr w:type="spellEnd"/>
            <w:r>
              <w:t xml:space="preserve">, </w:t>
            </w:r>
            <w:proofErr w:type="spellStart"/>
            <w:proofErr w:type="gramStart"/>
            <w:r>
              <w:t>TechnoServe</w:t>
            </w:r>
            <w:proofErr w:type="spellEnd"/>
            <w:proofErr w:type="gramEnd"/>
            <w:r>
              <w:t xml:space="preserve"> e </w:t>
            </w:r>
            <w:proofErr w:type="spellStart"/>
            <w:r>
              <w:t>Dasra</w:t>
            </w:r>
            <w:proofErr w:type="spellEnd"/>
            <w:r>
              <w:t xml:space="preserve"> Índia.</w:t>
            </w:r>
          </w:p>
          <w:p w:rsidR="00965FC6" w:rsidRDefault="00965FC6" w:rsidP="00965FC6">
            <w:pPr>
              <w:ind w:firstLine="1134"/>
              <w:jc w:val="both"/>
            </w:pPr>
            <w:r>
              <w:t xml:space="preserve"> Em seguida, os participantes tiveram a oportunidade de explorar a maneira em com que os parlamentares podem se envolver com o crescimento e desenvolvimento na prática. A Comissão de Desenvolvimento Internacional, como parte de sua investigação sobre empregos e meios de subsistência convidou três delegados para prestar depoimento sobre o emprego na juventude e três para falar sobre mulheres e emprego. Discutindo sobre os meios de subsistência dos jovens, Dr. Leslie </w:t>
            </w:r>
            <w:proofErr w:type="spellStart"/>
            <w:r>
              <w:t>Ramsammy</w:t>
            </w:r>
            <w:proofErr w:type="spellEnd"/>
            <w:r>
              <w:t xml:space="preserve"> (Guiana), Sr. </w:t>
            </w:r>
            <w:proofErr w:type="spellStart"/>
            <w:r>
              <w:t>Sammy</w:t>
            </w:r>
            <w:proofErr w:type="spellEnd"/>
            <w:r>
              <w:t xml:space="preserve"> </w:t>
            </w:r>
            <w:proofErr w:type="spellStart"/>
            <w:r>
              <w:t>Keoch</w:t>
            </w:r>
            <w:proofErr w:type="spellEnd"/>
            <w:r>
              <w:t xml:space="preserve"> (Quênia) e Sr. </w:t>
            </w:r>
            <w:proofErr w:type="spellStart"/>
            <w:r>
              <w:t>Nawab</w:t>
            </w:r>
            <w:proofErr w:type="spellEnd"/>
            <w:r>
              <w:t xml:space="preserve"> </w:t>
            </w:r>
            <w:proofErr w:type="spellStart"/>
            <w:r>
              <w:t>Yousaf</w:t>
            </w:r>
            <w:proofErr w:type="spellEnd"/>
            <w:r>
              <w:t xml:space="preserve"> </w:t>
            </w:r>
            <w:proofErr w:type="spellStart"/>
            <w:r>
              <w:t>Talpur</w:t>
            </w:r>
            <w:proofErr w:type="spellEnd"/>
            <w:r>
              <w:t xml:space="preserve"> (Paquistão) enfatizaram a importância dos setores públicos, privados e voluntários que trabalham em estreita colaboração para alcançar a criação de emprego, destacando em particular os desafios enfrentados pelas economias majoritariamente agrícolas. Sobre mulheres e emprego, a Sra. </w:t>
            </w:r>
            <w:proofErr w:type="spellStart"/>
            <w:r>
              <w:t>Leticia</w:t>
            </w:r>
            <w:proofErr w:type="spellEnd"/>
            <w:r>
              <w:t xml:space="preserve"> </w:t>
            </w:r>
            <w:proofErr w:type="spellStart"/>
            <w:r>
              <w:t>Nyerere</w:t>
            </w:r>
            <w:proofErr w:type="spellEnd"/>
            <w:r>
              <w:t xml:space="preserve"> (Tanzânia) identificou a violência contra mulheres e meninas como uma grande barreira, enquanto o Sr. Dr. </w:t>
            </w:r>
            <w:proofErr w:type="spellStart"/>
            <w:r>
              <w:t>Wilmot</w:t>
            </w:r>
            <w:proofErr w:type="spellEnd"/>
            <w:r>
              <w:t xml:space="preserve"> James apresentou as políticas de ação afirmativa da África do Sul como modelo e o Sr. </w:t>
            </w:r>
            <w:proofErr w:type="spellStart"/>
            <w:r>
              <w:t>Waresat</w:t>
            </w:r>
            <w:proofErr w:type="spellEnd"/>
            <w:r>
              <w:t xml:space="preserve"> </w:t>
            </w:r>
            <w:proofErr w:type="spellStart"/>
            <w:r>
              <w:t>Hussain</w:t>
            </w:r>
            <w:proofErr w:type="spellEnd"/>
            <w:r>
              <w:t xml:space="preserve"> </w:t>
            </w:r>
            <w:proofErr w:type="spellStart"/>
            <w:r>
              <w:t>Belal</w:t>
            </w:r>
            <w:proofErr w:type="spellEnd"/>
            <w:r>
              <w:t xml:space="preserve"> falou sobre o ramo têxtil de Bangladesh. Os demais participantes da conferência observaram os depoimentos, e depois participaram de uma animada sessão de "Perguntas e Respostas" com membros da Comissão.</w:t>
            </w:r>
          </w:p>
          <w:p w:rsidR="00965FC6" w:rsidRDefault="00965FC6" w:rsidP="00965FC6">
            <w:pPr>
              <w:ind w:firstLine="1134"/>
              <w:jc w:val="both"/>
            </w:pPr>
            <w:r>
              <w:t xml:space="preserve"> Na sessão seguinte, explorando ainda mais as parcerias público-privadas, Serena Brown, da KPMG, delineou como o setor privado tem se envolvido com a criação de um quadro de desenvolvimento pós-2015, bem como o papel que a KPMG prevê para empresas quando o quadro é aplicado. Enfatizou o investimento responsável e atividades de responsabilidade social, em particular em torno de capital humano e desenvolvimento de habilidades. O Sr. Nigel Harris, da </w:t>
            </w:r>
            <w:proofErr w:type="spellStart"/>
            <w:r w:rsidRPr="00C12B3B">
              <w:rPr>
                <w:i/>
              </w:rPr>
              <w:t>Farm</w:t>
            </w:r>
            <w:proofErr w:type="spellEnd"/>
            <w:r w:rsidRPr="00C12B3B">
              <w:rPr>
                <w:i/>
              </w:rPr>
              <w:t xml:space="preserve"> </w:t>
            </w:r>
            <w:proofErr w:type="spellStart"/>
            <w:r w:rsidRPr="00C12B3B">
              <w:rPr>
                <w:i/>
              </w:rPr>
              <w:t>Africa</w:t>
            </w:r>
            <w:proofErr w:type="spellEnd"/>
            <w:r>
              <w:t xml:space="preserve">, usou o setor agrícola como um foco para análise sobre o investimento do setor privado responsável e sustentável; em particular, ele destacou a importância crítica dos pequenos agricultores, que dominam a agricultura na África oriental. A Sra. </w:t>
            </w:r>
            <w:proofErr w:type="spellStart"/>
            <w:r>
              <w:t>Yurendra</w:t>
            </w:r>
            <w:proofErr w:type="spellEnd"/>
            <w:r>
              <w:t xml:space="preserve"> </w:t>
            </w:r>
            <w:proofErr w:type="spellStart"/>
            <w:r>
              <w:t>Basnett</w:t>
            </w:r>
            <w:proofErr w:type="spellEnd"/>
            <w:r>
              <w:t xml:space="preserve"> explorou modelos de parcerias público-privadas em três países asiáticos, Bangladesh, Nepal e Indonésia, destacando que o governo precisa agir e colocar suas políticas em prática, para proteção contra falhas de mercado.</w:t>
            </w:r>
          </w:p>
          <w:p w:rsidR="00965FC6" w:rsidRDefault="00965FC6" w:rsidP="00965FC6">
            <w:pPr>
              <w:ind w:firstLine="1134"/>
              <w:jc w:val="both"/>
            </w:pPr>
            <w:r>
              <w:t xml:space="preserve"> Cumprindo uma palestra à tarde, o Sr. </w:t>
            </w:r>
            <w:proofErr w:type="spellStart"/>
            <w:r>
              <w:t>Petko</w:t>
            </w:r>
            <w:proofErr w:type="spellEnd"/>
            <w:r>
              <w:t xml:space="preserve"> </w:t>
            </w:r>
            <w:proofErr w:type="spellStart"/>
            <w:r>
              <w:t>Draganov</w:t>
            </w:r>
            <w:proofErr w:type="spellEnd"/>
            <w:r>
              <w:t xml:space="preserve">, Vice-Secretário-Geral da Conferência das Nações Unidas sobre Comércio e Desenvolvimento (UNCTAD), deu a sua opinião sobre o estado atual do </w:t>
            </w:r>
            <w:r>
              <w:lastRenderedPageBreak/>
              <w:t xml:space="preserve">comércio global, como o comércio pode promover o desenvolvimento sustentável, e como a UNCTAD pode apoiar os países a alcançar este objetivo. Ele exortou os participantes parlamentares a construir a demanda interna para incentivar o comércio global, mas também a garantir que as políticas sociais funcionem adequadamente para que os benefícios do comércio consigam a redução sustentável da pobreza. O Sr. Peter </w:t>
            </w:r>
            <w:proofErr w:type="spellStart"/>
            <w:r>
              <w:t>Lilley</w:t>
            </w:r>
            <w:proofErr w:type="spellEnd"/>
            <w:r>
              <w:t xml:space="preserve"> presidiu a sessão que explorou as formas em que o comércio pode contribuir para o desenvolvimento sustentável. A Sra. Dorothy </w:t>
            </w:r>
            <w:proofErr w:type="spellStart"/>
            <w:r>
              <w:t>Tembo</w:t>
            </w:r>
            <w:proofErr w:type="spellEnd"/>
            <w:r>
              <w:t xml:space="preserve">, do Centro de Comércio Internacional, falou sobre o seu papel na garantia de que os países em desenvolvimento estejam aptos a se beneficiar das oportunidades comerciais que redução da pobreza apresenta. Frank </w:t>
            </w:r>
            <w:proofErr w:type="spellStart"/>
            <w:r>
              <w:t>Matsaert</w:t>
            </w:r>
            <w:proofErr w:type="spellEnd"/>
            <w:r>
              <w:t xml:space="preserve"> identificou algumas das oportunidades e desafios que sua organização, Trademark </w:t>
            </w:r>
            <w:proofErr w:type="spellStart"/>
            <w:r>
              <w:t>East</w:t>
            </w:r>
            <w:proofErr w:type="spellEnd"/>
            <w:r>
              <w:t xml:space="preserve"> </w:t>
            </w:r>
            <w:proofErr w:type="spellStart"/>
            <w:r>
              <w:t>Africa</w:t>
            </w:r>
            <w:proofErr w:type="spellEnd"/>
            <w:r>
              <w:t>, encontrou ao trabalhar para facilitar o comércio na região.</w:t>
            </w:r>
          </w:p>
          <w:p w:rsidR="00965FC6" w:rsidRDefault="00965FC6" w:rsidP="00965FC6">
            <w:pPr>
              <w:ind w:firstLine="1134"/>
              <w:jc w:val="both"/>
            </w:pPr>
            <w:r>
              <w:t xml:space="preserve"> A penúltima sessão foi uma explanação altamente envolvente sobre tributação, presidida por </w:t>
            </w:r>
            <w:proofErr w:type="spellStart"/>
            <w:r>
              <w:t>Lord</w:t>
            </w:r>
            <w:proofErr w:type="spellEnd"/>
            <w:r>
              <w:t xml:space="preserve"> </w:t>
            </w:r>
            <w:proofErr w:type="spellStart"/>
            <w:r>
              <w:t>Marland</w:t>
            </w:r>
            <w:proofErr w:type="spellEnd"/>
            <w:r>
              <w:t xml:space="preserve">. Professor Mick Moore (Centro Internacional de Tributação e Desenvolvimento) exortou os governos a se moverem no sentido da tributação moderada da riqueza e da propriedade, em oposição ao imposto de renda, a fim de incentivar um maior nível de investimento. Henry </w:t>
            </w:r>
            <w:proofErr w:type="spellStart"/>
            <w:r>
              <w:t>Malumo</w:t>
            </w:r>
            <w:proofErr w:type="spellEnd"/>
            <w:r>
              <w:t xml:space="preserve"> (</w:t>
            </w:r>
            <w:proofErr w:type="spellStart"/>
            <w:proofErr w:type="gramStart"/>
            <w:r>
              <w:t>ActionAid</w:t>
            </w:r>
            <w:proofErr w:type="spellEnd"/>
            <w:proofErr w:type="gramEnd"/>
            <w:r>
              <w:t xml:space="preserve">) destacou uma série de desigualdades inerentes aos sistemas fiscais correntes, e Ben </w:t>
            </w:r>
            <w:proofErr w:type="spellStart"/>
            <w:r>
              <w:t>Dickinson</w:t>
            </w:r>
            <w:proofErr w:type="spellEnd"/>
            <w:r>
              <w:t xml:space="preserve"> (OCDE) explorou o impacto específico do lucro cambial e incentivos fiscais em matéria de fiscalidade a nível internacional.</w:t>
            </w:r>
          </w:p>
          <w:p w:rsidR="00965FC6" w:rsidRDefault="00965FC6" w:rsidP="00965FC6">
            <w:pPr>
              <w:ind w:firstLine="1134"/>
              <w:jc w:val="both"/>
            </w:pPr>
            <w:r>
              <w:t xml:space="preserve"> Concluindo o programa do dia, com o tema sobre a tributação nos países do G20, comércio e transparência, o Alto Comissariado Australiano para o Reino Unido, Sr. Alexander </w:t>
            </w:r>
            <w:proofErr w:type="spellStart"/>
            <w:r>
              <w:t>Downer</w:t>
            </w:r>
            <w:proofErr w:type="spellEnd"/>
            <w:r>
              <w:t>, deu uma atualização sobre a presidência da Austrália e da reunião que havia organizado na última semana. Descreveu a abordagem da Austrália para a sua presidência: encorajar cada um dos vinte Estados membros para estimular o crescimento econômico na forma mais adequada para a sua economia, atraindo investimentos. Identificou um sistema de direitos de propriedade, apoiada pelo Estado de direito e um forte Judiciário como fatores críticos para a atração de investimentos, bem como políticas fiscais, comerciais e trabalhistas coerentes e pró-empresariais.</w:t>
            </w:r>
          </w:p>
          <w:p w:rsidR="00965FC6" w:rsidRDefault="00965FC6" w:rsidP="00965FC6">
            <w:pPr>
              <w:ind w:firstLine="1134"/>
              <w:jc w:val="both"/>
            </w:pPr>
            <w:r>
              <w:t xml:space="preserve">Na quinta-feira, dia 20 de novembro, foi dia de debater sobre "Governança e o papel dos parlamentares". Os conferencistas se encontraram com o Professor Muhammad </w:t>
            </w:r>
            <w:proofErr w:type="spellStart"/>
            <w:r>
              <w:t>Yunus</w:t>
            </w:r>
            <w:proofErr w:type="spellEnd"/>
            <w:r>
              <w:t xml:space="preserve">, o qual, compartilhando sua experiência de trabalho para combater a pobreza global, perguntou: "Qual é o uso que se faz da economia ensinada em sala de aula, se não beneficiar aqueles que estão do lado de fora? </w:t>
            </w:r>
            <w:proofErr w:type="gramStart"/>
            <w:r>
              <w:t>É</w:t>
            </w:r>
            <w:proofErr w:type="gramEnd"/>
            <w:r>
              <w:t xml:space="preserve"> apenas contos de fadas." Ele relatou sua experiência como fundador do Banco </w:t>
            </w:r>
            <w:proofErr w:type="spellStart"/>
            <w:r>
              <w:t>Grameen</w:t>
            </w:r>
            <w:proofErr w:type="spellEnd"/>
            <w:r>
              <w:t xml:space="preserve"> e desenvolvimento do sistema hoje conhecido como </w:t>
            </w:r>
            <w:proofErr w:type="spellStart"/>
            <w:r>
              <w:t>micro-crédito</w:t>
            </w:r>
            <w:proofErr w:type="spellEnd"/>
            <w:r>
              <w:t>, a fim de ajudar as pessoas a sair da pobreza, e fez um inspirado chamado para investir nas comunidades mais pobres, como a forma mais segura de estabelecer padrões de crescimento sustentáveis.</w:t>
            </w:r>
          </w:p>
          <w:p w:rsidR="00965FC6" w:rsidRDefault="00965FC6" w:rsidP="00965FC6">
            <w:pPr>
              <w:ind w:firstLine="1134"/>
              <w:jc w:val="both"/>
            </w:pPr>
            <w:r>
              <w:t xml:space="preserve"> David </w:t>
            </w:r>
            <w:proofErr w:type="spellStart"/>
            <w:r>
              <w:t>Hallam</w:t>
            </w:r>
            <w:proofErr w:type="spellEnd"/>
            <w:r>
              <w:t xml:space="preserve">, Conselheiro Especial do Primeiro-Ministro no pós-2015, falou sobre a agenda de crescimento para o desenvolvimento pós-2015. Ele destacou a contínua defesa </w:t>
            </w:r>
            <w:proofErr w:type="gramStart"/>
            <w:r>
              <w:t>feita</w:t>
            </w:r>
            <w:proofErr w:type="gramEnd"/>
            <w:r>
              <w:t xml:space="preserve"> pelo Reino Unido de um quadro de políticas públicas para o pós-2015, notadamente dado que os objetivos são mais fortes no crescimento econômico e que a nova estrutura de metas é mais simples e coerente, e, portanto, mais fácil de conseguir sua responsabilização. O Professor Jeffrey Sachs, conselheiro especial do Secretário-Geral das Nações Unidas sobre pós-2015, em seguida, apresentou os próximos passos na definição de um quadro pós-2015, destacando a importância de que três negociações no próximo ano são </w:t>
            </w:r>
            <w:proofErr w:type="gramStart"/>
            <w:r>
              <w:t>tratados</w:t>
            </w:r>
            <w:proofErr w:type="gramEnd"/>
            <w:r>
              <w:t xml:space="preserve"> como parte de um todo: Conferência de Julho, sobre o Financiamento do Desenvolvimento em Adis </w:t>
            </w:r>
            <w:proofErr w:type="spellStart"/>
            <w:r>
              <w:t>Abeba</w:t>
            </w:r>
            <w:proofErr w:type="spellEnd"/>
            <w:r>
              <w:t>; Conferência de Alto Nível de setembro sobre Desenvolvimento Sustentável e da 21ª Conferência das Partes sobre Mudanças Climáticas.</w:t>
            </w:r>
          </w:p>
          <w:p w:rsidR="00965FC6" w:rsidRDefault="00965FC6" w:rsidP="00965FC6">
            <w:pPr>
              <w:ind w:firstLine="1134"/>
              <w:jc w:val="both"/>
            </w:pPr>
            <w:r>
              <w:t xml:space="preserve">No começo do dia, ouvimos especialistas na área de medidas de transparência e combate à corrupção. Abrindo o dia com uma conversa sobre recuperação de ativos, Robert </w:t>
            </w:r>
            <w:proofErr w:type="spellStart"/>
            <w:r>
              <w:t>Barrington</w:t>
            </w:r>
            <w:proofErr w:type="spellEnd"/>
            <w:r>
              <w:t xml:space="preserve">, diretor executivo da Transparência Internacional do Reino Unido, e James </w:t>
            </w:r>
            <w:proofErr w:type="spellStart"/>
            <w:r>
              <w:t>Maton</w:t>
            </w:r>
            <w:proofErr w:type="spellEnd"/>
            <w:r>
              <w:t xml:space="preserve">, sócio da Edwards </w:t>
            </w:r>
            <w:proofErr w:type="spellStart"/>
            <w:r>
              <w:t>Wildman</w:t>
            </w:r>
            <w:proofErr w:type="spellEnd"/>
            <w:r>
              <w:t xml:space="preserve"> Palmer LLP e especialista em recuperação de ativos, explorou as formas em que o direito internacional pode ajudar as vítimas da corrupção e de atividades ilícitas. Em particular, abordaram o papel que as jurisdições, como o Reino Unido, </w:t>
            </w:r>
            <w:proofErr w:type="gramStart"/>
            <w:r>
              <w:t>exercem</w:t>
            </w:r>
            <w:proofErr w:type="gramEnd"/>
            <w:r>
              <w:t xml:space="preserve"> como destinos para ativos corruptos, e fez uma defesa da reforma de leis para ajudar a recuperação.</w:t>
            </w:r>
          </w:p>
          <w:p w:rsidR="00965FC6" w:rsidRDefault="00965FC6" w:rsidP="00965FC6">
            <w:pPr>
              <w:ind w:firstLine="1134"/>
              <w:jc w:val="both"/>
            </w:pPr>
            <w:r>
              <w:t xml:space="preserve">A sessão subsequente foi uma discussão sobre transparência e responsabilidade </w:t>
            </w:r>
            <w:proofErr w:type="gramStart"/>
            <w:r>
              <w:t>presidido</w:t>
            </w:r>
            <w:proofErr w:type="gramEnd"/>
            <w:r>
              <w:t xml:space="preserve"> pelo Sr. </w:t>
            </w:r>
            <w:proofErr w:type="spellStart"/>
            <w:r>
              <w:t>Alistair</w:t>
            </w:r>
            <w:proofErr w:type="spellEnd"/>
            <w:r>
              <w:t xml:space="preserve"> Burt. O Sr. José </w:t>
            </w:r>
            <w:proofErr w:type="spellStart"/>
            <w:r>
              <w:t>Ugaz</w:t>
            </w:r>
            <w:proofErr w:type="spellEnd"/>
            <w:r>
              <w:t xml:space="preserve">, Presidente eleito da Transparência Internacional, abordou porque um governo transparente e aberto é fundamental - porque o contrário fomentaria a corrupção, e a corrupção tem um efeito devastador sobre as economias em desenvolvimento. Ele também comentou sobre as metas específicas de governança e transparência no quadro de desenvolvimento pós-2015. O Sr. Rick </w:t>
            </w:r>
            <w:proofErr w:type="spellStart"/>
            <w:r>
              <w:t>Stapenhurst</w:t>
            </w:r>
            <w:proofErr w:type="spellEnd"/>
            <w:r>
              <w:t xml:space="preserve">, da Universidade </w:t>
            </w:r>
            <w:proofErr w:type="spellStart"/>
            <w:r>
              <w:t>McGill</w:t>
            </w:r>
            <w:proofErr w:type="spellEnd"/>
            <w:r>
              <w:t xml:space="preserve"> e do Instituto Banco Mundial, demonstrou alguns dos mecanismos à disposição dos parlamentares para cobrar dos governos, incluindo os questionamentos parlamentares e das comissões, enfatizando que o modelo </w:t>
            </w:r>
            <w:r>
              <w:lastRenderedPageBreak/>
              <w:t xml:space="preserve">mais eficaz irá variar de legislatura para legislatura. Finalmente, o Sr. Paulo </w:t>
            </w:r>
            <w:proofErr w:type="spellStart"/>
            <w:r>
              <w:t>Arkwright</w:t>
            </w:r>
            <w:proofErr w:type="spellEnd"/>
            <w:r>
              <w:t xml:space="preserve"> sublinhou o Estado de direito, boa governança e instituições fortes como o "fio de ouro" do quadro pós-2015.</w:t>
            </w:r>
          </w:p>
          <w:p w:rsidR="00965FC6" w:rsidRDefault="00965FC6" w:rsidP="00965FC6">
            <w:pPr>
              <w:ind w:firstLine="1134"/>
              <w:jc w:val="both"/>
            </w:pPr>
            <w:r>
              <w:t xml:space="preserve"> Concluindo o foco da manhã sobre a corrupção, o Sr. </w:t>
            </w:r>
            <w:proofErr w:type="spellStart"/>
            <w:r>
              <w:t>Baroness</w:t>
            </w:r>
            <w:proofErr w:type="spellEnd"/>
            <w:r>
              <w:t xml:space="preserve"> Scotland de </w:t>
            </w:r>
            <w:proofErr w:type="spellStart"/>
            <w:r>
              <w:t>Asthal</w:t>
            </w:r>
            <w:proofErr w:type="spellEnd"/>
            <w:r>
              <w:t xml:space="preserve"> afirmou que a corrupção cria divisões nas sociedades, minando a confiança nos governos e enfraquecendo o senso de comunidade. O Dr. Laurence Cockcroft, </w:t>
            </w:r>
            <w:proofErr w:type="spellStart"/>
            <w:proofErr w:type="gramStart"/>
            <w:r>
              <w:t>co-fundador</w:t>
            </w:r>
            <w:proofErr w:type="spellEnd"/>
            <w:proofErr w:type="gramEnd"/>
            <w:r>
              <w:t xml:space="preserve"> da Transparência Internacional, identificou sete vetores de corrupção: financiamento político, suborno mesquinho, crime organizado, empresas multinacionais, pagamentos ilícitos, paraísos fiscais e economia informal. Em particular, ele pediu a reforma do financiamento político. O Dr. </w:t>
            </w:r>
            <w:proofErr w:type="spellStart"/>
            <w:r>
              <w:t>Gavin</w:t>
            </w:r>
            <w:proofErr w:type="spellEnd"/>
            <w:r>
              <w:t xml:space="preserve"> Woods, da GOPAC África do Sul, destacou algumas das maneiras com que a África do Sul tentou reprimir a corrupção no setor público, incluindo a criminalização com sanções significativas e criação de um "Disque </w:t>
            </w:r>
            <w:proofErr w:type="spellStart"/>
            <w:r>
              <w:t>Anti-Corrupção</w:t>
            </w:r>
            <w:proofErr w:type="spellEnd"/>
            <w:r>
              <w:t xml:space="preserve">". Encerrando a sessão, a Sra. Irene </w:t>
            </w:r>
            <w:proofErr w:type="spellStart"/>
            <w:r>
              <w:t>Ovonji-Odida</w:t>
            </w:r>
            <w:proofErr w:type="spellEnd"/>
            <w:r>
              <w:t xml:space="preserve"> debateu sobre atividades ilícitas e o Painel </w:t>
            </w:r>
            <w:proofErr w:type="spellStart"/>
            <w:r>
              <w:t>Mbeki</w:t>
            </w:r>
            <w:proofErr w:type="spellEnd"/>
            <w:r>
              <w:t xml:space="preserve"> UNECA sobre Fluxos Financeiros Ilícitos, da qual é membro. Ao discutir maneiras de separar o sistema financeiro global lícito e ilícito, ela enfatizou a importância da liderança dos governos do hemisfério sul, com o apoio dos governos desenvolvidos.</w:t>
            </w:r>
          </w:p>
          <w:p w:rsidR="00965FC6" w:rsidRDefault="00965FC6" w:rsidP="00965FC6">
            <w:pPr>
              <w:ind w:firstLine="1134"/>
              <w:jc w:val="both"/>
            </w:pPr>
            <w:r>
              <w:t xml:space="preserve"> Os participantes tiveram a oportunidade de experimentar o uso de ferramentas on-line para acessar os dados com os quais podem exigir responsabilização de seus governos, em uma sessão prática, com reflexão sobre desenvolvimento de iniciativas. Os delegados então se dividiram em grupos para explorar em maior detalhe o futuro dos acordos comerciais globais com Dr. </w:t>
            </w:r>
            <w:proofErr w:type="spellStart"/>
            <w:r>
              <w:t>Erja</w:t>
            </w:r>
            <w:proofErr w:type="spellEnd"/>
            <w:r>
              <w:t xml:space="preserve"> </w:t>
            </w:r>
            <w:proofErr w:type="spellStart"/>
            <w:r>
              <w:t>Askola</w:t>
            </w:r>
            <w:proofErr w:type="spellEnd"/>
            <w:r>
              <w:t xml:space="preserve"> (Comissão Europeia) e da Parceria para Governo Aberto com </w:t>
            </w:r>
            <w:proofErr w:type="spellStart"/>
            <w:r>
              <w:t>Kitty</w:t>
            </w:r>
            <w:proofErr w:type="spellEnd"/>
            <w:r>
              <w:t xml:space="preserve"> </w:t>
            </w:r>
            <w:proofErr w:type="spellStart"/>
            <w:proofErr w:type="gramStart"/>
            <w:r>
              <w:t>von</w:t>
            </w:r>
            <w:proofErr w:type="spellEnd"/>
            <w:proofErr w:type="gramEnd"/>
            <w:r>
              <w:t xml:space="preserve"> </w:t>
            </w:r>
            <w:proofErr w:type="spellStart"/>
            <w:r>
              <w:t>Bertele</w:t>
            </w:r>
            <w:proofErr w:type="spellEnd"/>
            <w:r>
              <w:t xml:space="preserve"> do Gabinete do Governo.</w:t>
            </w:r>
          </w:p>
          <w:p w:rsidR="00337916" w:rsidRPr="00844FBA" w:rsidRDefault="00337916" w:rsidP="00965FC6">
            <w:pPr>
              <w:jc w:val="both"/>
              <w:rPr>
                <w:rFonts w:ascii="Arial" w:hAnsi="Arial" w:cs="Arial"/>
                <w:sz w:val="24"/>
                <w:szCs w:val="24"/>
              </w:rPr>
            </w:pPr>
          </w:p>
        </w:tc>
      </w:tr>
      <w:tr w:rsidR="008A2855">
        <w:tblPrEx>
          <w:tblCellMar>
            <w:top w:w="0" w:type="dxa"/>
            <w:bottom w:w="0" w:type="dxa"/>
          </w:tblCellMar>
        </w:tblPrEx>
        <w:tc>
          <w:tcPr>
            <w:tcW w:w="10257" w:type="dxa"/>
          </w:tcPr>
          <w:p w:rsidR="008A2855" w:rsidRPr="00C2327E" w:rsidRDefault="008A2855" w:rsidP="00F94352">
            <w:pPr>
              <w:jc w:val="both"/>
              <w:rPr>
                <w:rFonts w:ascii="Arial" w:hAnsi="Arial" w:cs="Arial"/>
                <w:b/>
                <w:snapToGrid w:val="0"/>
                <w:sz w:val="24"/>
                <w:szCs w:val="24"/>
              </w:rPr>
            </w:pPr>
          </w:p>
        </w:tc>
      </w:tr>
    </w:tbl>
    <w:p w:rsidR="00A13360" w:rsidRDefault="00A13360">
      <w:pPr>
        <w:pStyle w:val="Ttulo2"/>
        <w:numPr>
          <w:ilvl w:val="0"/>
          <w:numId w:val="6"/>
        </w:numPr>
        <w:jc w:val="both"/>
        <w:rPr>
          <w:rFonts w:ascii="Calibri" w:hAnsi="Calibri"/>
        </w:rPr>
      </w:pPr>
      <w:r>
        <w:rPr>
          <w:rFonts w:ascii="Calibri" w:hAnsi="Calibri"/>
        </w:rPr>
        <w:t>Fechamento do Relatório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4606"/>
        <w:gridCol w:w="5529"/>
      </w:tblGrid>
      <w:tr w:rsidR="00A13360">
        <w:tblPrEx>
          <w:tblCellMar>
            <w:top w:w="0" w:type="dxa"/>
            <w:bottom w:w="0" w:type="dxa"/>
          </w:tblCellMar>
        </w:tblPrEx>
        <w:trPr>
          <w:tblHeader/>
        </w:trPr>
        <w:tc>
          <w:tcPr>
            <w:tcW w:w="4606" w:type="dxa"/>
            <w:shd w:val="pct15" w:color="000000" w:fill="FFFFFF"/>
            <w:vAlign w:val="center"/>
          </w:tcPr>
          <w:p w:rsidR="00A13360" w:rsidRDefault="00A13360">
            <w:pPr>
              <w:pStyle w:val="Ttulo3"/>
              <w:jc w:val="both"/>
              <w:rPr>
                <w:rFonts w:ascii="Calibri" w:hAnsi="Calibri"/>
                <w:sz w:val="20"/>
              </w:rPr>
            </w:pPr>
            <w:r>
              <w:rPr>
                <w:rFonts w:ascii="Calibri" w:hAnsi="Calibri"/>
                <w:sz w:val="20"/>
              </w:rPr>
              <w:t>Data do relatório</w:t>
            </w:r>
          </w:p>
        </w:tc>
        <w:tc>
          <w:tcPr>
            <w:tcW w:w="5529" w:type="dxa"/>
            <w:shd w:val="pct15" w:color="000000" w:fill="FFFFFF"/>
            <w:vAlign w:val="center"/>
          </w:tcPr>
          <w:p w:rsidR="00A13360" w:rsidRDefault="00A13360">
            <w:pPr>
              <w:pStyle w:val="Ttulo3"/>
              <w:jc w:val="both"/>
              <w:rPr>
                <w:rFonts w:ascii="Calibri" w:hAnsi="Calibri"/>
                <w:sz w:val="20"/>
              </w:rPr>
            </w:pPr>
            <w:r>
              <w:rPr>
                <w:rFonts w:ascii="Calibri" w:hAnsi="Calibri"/>
                <w:sz w:val="20"/>
              </w:rPr>
              <w:t xml:space="preserve">Nome, cargo e assinatura do </w:t>
            </w:r>
            <w:proofErr w:type="gramStart"/>
            <w:r>
              <w:rPr>
                <w:rFonts w:ascii="Calibri" w:hAnsi="Calibri"/>
                <w:sz w:val="20"/>
              </w:rPr>
              <w:t>Participante</w:t>
            </w:r>
            <w:proofErr w:type="gramEnd"/>
          </w:p>
        </w:tc>
      </w:tr>
      <w:tr w:rsidR="00A13360">
        <w:tblPrEx>
          <w:tblCellMar>
            <w:top w:w="0" w:type="dxa"/>
            <w:bottom w:w="0" w:type="dxa"/>
          </w:tblCellMar>
        </w:tblPrEx>
        <w:trPr>
          <w:trHeight w:val="119"/>
        </w:trPr>
        <w:tc>
          <w:tcPr>
            <w:tcW w:w="4606" w:type="dxa"/>
            <w:vAlign w:val="center"/>
          </w:tcPr>
          <w:p w:rsidR="00A13360" w:rsidRPr="00D720D5" w:rsidRDefault="00965FC6">
            <w:pPr>
              <w:jc w:val="both"/>
              <w:rPr>
                <w:rFonts w:ascii="Arial" w:hAnsi="Arial" w:cs="Arial"/>
                <w:sz w:val="20"/>
              </w:rPr>
            </w:pPr>
            <w:r>
              <w:rPr>
                <w:rFonts w:ascii="Arial" w:hAnsi="Arial" w:cs="Arial"/>
                <w:sz w:val="24"/>
                <w:szCs w:val="24"/>
              </w:rPr>
              <w:fldChar w:fldCharType="begin"/>
            </w:r>
            <w:r>
              <w:rPr>
                <w:rFonts w:ascii="Arial" w:hAnsi="Arial" w:cs="Arial"/>
                <w:sz w:val="24"/>
                <w:szCs w:val="24"/>
              </w:rPr>
              <w:instrText xml:space="preserve"> TIME \@ "d' de 'MMMM' de 'yyyy" </w:instrText>
            </w:r>
            <w:r>
              <w:rPr>
                <w:rFonts w:ascii="Arial" w:hAnsi="Arial" w:cs="Arial"/>
                <w:sz w:val="24"/>
                <w:szCs w:val="24"/>
              </w:rPr>
              <w:fldChar w:fldCharType="separate"/>
            </w:r>
            <w:r>
              <w:rPr>
                <w:rFonts w:ascii="Arial" w:hAnsi="Arial" w:cs="Arial"/>
                <w:noProof/>
                <w:sz w:val="24"/>
                <w:szCs w:val="24"/>
              </w:rPr>
              <w:t>3 de dezembro de 2014</w:t>
            </w:r>
            <w:r>
              <w:rPr>
                <w:rFonts w:ascii="Arial" w:hAnsi="Arial" w:cs="Arial"/>
                <w:sz w:val="24"/>
                <w:szCs w:val="24"/>
              </w:rPr>
              <w:fldChar w:fldCharType="end"/>
            </w:r>
          </w:p>
        </w:tc>
        <w:tc>
          <w:tcPr>
            <w:tcW w:w="5529" w:type="dxa"/>
            <w:vAlign w:val="center"/>
          </w:tcPr>
          <w:p w:rsidR="00A13360" w:rsidRDefault="00A13360">
            <w:pPr>
              <w:spacing w:before="0"/>
              <w:jc w:val="both"/>
              <w:rPr>
                <w:rFonts w:ascii="Tahoma" w:hAnsi="Tahoma"/>
              </w:rPr>
            </w:pPr>
          </w:p>
          <w:p w:rsidR="00A13360" w:rsidRDefault="00A13360">
            <w:pPr>
              <w:spacing w:before="0"/>
              <w:jc w:val="both"/>
              <w:rPr>
                <w:rFonts w:ascii="Tahoma" w:hAnsi="Tahoma"/>
              </w:rPr>
            </w:pPr>
          </w:p>
          <w:p w:rsidR="00A13360" w:rsidRDefault="00A13360">
            <w:pPr>
              <w:spacing w:before="0"/>
              <w:jc w:val="both"/>
              <w:rPr>
                <w:rFonts w:ascii="Tahoma" w:hAnsi="Tahoma"/>
              </w:rPr>
            </w:pPr>
          </w:p>
          <w:p w:rsidR="0037586D" w:rsidRDefault="00433A83" w:rsidP="0037586D">
            <w:pPr>
              <w:spacing w:before="0"/>
              <w:jc w:val="center"/>
              <w:rPr>
                <w:rFonts w:ascii="Arial" w:hAnsi="Arial" w:cs="Arial"/>
                <w:sz w:val="24"/>
                <w:szCs w:val="24"/>
              </w:rPr>
            </w:pPr>
            <w:r>
              <w:rPr>
                <w:rFonts w:ascii="Arial" w:hAnsi="Arial" w:cs="Arial"/>
                <w:sz w:val="24"/>
                <w:szCs w:val="24"/>
              </w:rPr>
              <w:t xml:space="preserve">Deputado </w:t>
            </w:r>
            <w:r w:rsidR="004C7682">
              <w:rPr>
                <w:rFonts w:ascii="Arial" w:hAnsi="Arial" w:cs="Arial"/>
                <w:sz w:val="24"/>
                <w:szCs w:val="24"/>
              </w:rPr>
              <w:t>Danilo Forte</w:t>
            </w:r>
          </w:p>
          <w:p w:rsidR="00433A83" w:rsidRDefault="004C7682" w:rsidP="00443EAE">
            <w:pPr>
              <w:spacing w:before="0"/>
              <w:jc w:val="center"/>
              <w:rPr>
                <w:rFonts w:ascii="Calibri" w:hAnsi="Calibri"/>
              </w:rPr>
            </w:pPr>
            <w:r>
              <w:rPr>
                <w:rFonts w:ascii="Arial" w:hAnsi="Arial" w:cs="Arial"/>
                <w:sz w:val="24"/>
                <w:szCs w:val="24"/>
              </w:rPr>
              <w:t>PMDB/CE</w:t>
            </w:r>
          </w:p>
        </w:tc>
      </w:tr>
    </w:tbl>
    <w:p w:rsidR="00A13360" w:rsidRDefault="00A13360">
      <w:pPr>
        <w:jc w:val="both"/>
        <w:rPr>
          <w:rFonts w:ascii="Calibri" w:hAnsi="Calibri"/>
          <w:sz w:val="20"/>
        </w:rPr>
      </w:pPr>
    </w:p>
    <w:sectPr w:rsidR="00A13360">
      <w:headerReference w:type="default" r:id="rId7"/>
      <w:pgSz w:w="11907" w:h="16840" w:code="9"/>
      <w:pgMar w:top="1418" w:right="708" w:bottom="851" w:left="1134" w:header="720" w:footer="284"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46FA6" w:rsidRDefault="00046FA6">
      <w:pPr>
        <w:spacing w:before="0" w:after="0"/>
      </w:pPr>
      <w:r>
        <w:separator/>
      </w:r>
    </w:p>
  </w:endnote>
  <w:endnote w:type="continuationSeparator" w:id="0">
    <w:p w:rsidR="00046FA6" w:rsidRDefault="00046FA6">
      <w:pPr>
        <w:spacing w:before="0" w:after="0"/>
      </w:pPr>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Arial (W1)">
    <w:charset w:val="00"/>
    <w:family w:val="swiss"/>
    <w:pitch w:val="variable"/>
    <w:sig w:usb0="20002A87" w:usb1="80000000" w:usb2="00000008"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46FA6" w:rsidRDefault="00046FA6">
      <w:pPr>
        <w:spacing w:before="0" w:after="0"/>
      </w:pPr>
      <w:r>
        <w:separator/>
      </w:r>
    </w:p>
  </w:footnote>
  <w:footnote w:type="continuationSeparator" w:id="0">
    <w:p w:rsidR="00046FA6" w:rsidRDefault="00046FA6">
      <w:pPr>
        <w:spacing w:before="0"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CellMar>
        <w:left w:w="70" w:type="dxa"/>
        <w:right w:w="70" w:type="dxa"/>
      </w:tblCellMar>
      <w:tblLook w:val="0000"/>
    </w:tblPr>
    <w:tblGrid>
      <w:gridCol w:w="5173"/>
      <w:gridCol w:w="4820"/>
      <w:gridCol w:w="160"/>
    </w:tblGrid>
    <w:tr w:rsidR="00A13360">
      <w:tblPrEx>
        <w:tblCellMar>
          <w:top w:w="0" w:type="dxa"/>
          <w:bottom w:w="0" w:type="dxa"/>
        </w:tblCellMar>
      </w:tblPrEx>
      <w:trPr>
        <w:cantSplit/>
        <w:trHeight w:val="562"/>
      </w:trPr>
      <w:tc>
        <w:tcPr>
          <w:tcW w:w="5173" w:type="dxa"/>
          <w:vAlign w:val="center"/>
        </w:tcPr>
        <w:p w:rsidR="00A13360" w:rsidRDefault="00A13360">
          <w:pPr>
            <w:pStyle w:val="Cabealho"/>
            <w:tabs>
              <w:tab w:val="clear" w:pos="4419"/>
              <w:tab w:val="clear" w:pos="8838"/>
            </w:tabs>
            <w:spacing w:before="120"/>
            <w:ind w:left="709"/>
            <w:rPr>
              <w:rFonts w:ascii="Calibri" w:hAnsi="Calibri"/>
              <w:sz w:val="20"/>
            </w:rPr>
          </w:pPr>
          <w:r>
            <w:rPr>
              <w:rFonts w:ascii="Calibri" w:hAnsi="Calibri"/>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175" type="#_x0000_t75" style="position:absolute;left:0;text-align:left;margin-left:1.2pt;margin-top:4.2pt;width:27.85pt;height:27.85pt;z-index:251657728" o:allowincell="f">
                <v:imagedata r:id="rId1" o:title=""/>
                <w10:wrap type="square"/>
              </v:shape>
              <o:OLEObject Type="Embed" ProgID="CorelDRAW.Graphic.11" ShapeID="_x0000_s2175" DrawAspect="Content" ObjectID="_1479136069" r:id="rId2"/>
            </w:pict>
          </w:r>
          <w:r>
            <w:rPr>
              <w:rFonts w:ascii="Calibri" w:hAnsi="Calibri"/>
              <w:sz w:val="20"/>
            </w:rPr>
            <w:t>CÂMARA DOS DEPUTADOS</w:t>
          </w:r>
        </w:p>
        <w:p w:rsidR="00A13360" w:rsidRDefault="00A13360">
          <w:pPr>
            <w:pStyle w:val="Cabealho"/>
            <w:tabs>
              <w:tab w:val="clear" w:pos="4419"/>
              <w:tab w:val="clear" w:pos="8838"/>
            </w:tabs>
            <w:spacing w:after="120"/>
            <w:ind w:left="709"/>
          </w:pPr>
        </w:p>
      </w:tc>
      <w:tc>
        <w:tcPr>
          <w:tcW w:w="4980" w:type="dxa"/>
          <w:gridSpan w:val="2"/>
          <w:vAlign w:val="center"/>
        </w:tcPr>
        <w:p w:rsidR="00A13360" w:rsidRDefault="00A13360">
          <w:pPr>
            <w:pStyle w:val="Cabealho"/>
            <w:tabs>
              <w:tab w:val="clear" w:pos="4419"/>
              <w:tab w:val="clear" w:pos="8838"/>
            </w:tabs>
            <w:ind w:right="142"/>
            <w:jc w:val="right"/>
            <w:rPr>
              <w:rFonts w:ascii="Calibri" w:hAnsi="Calibri"/>
              <w:sz w:val="20"/>
            </w:rPr>
          </w:pPr>
          <w:r>
            <w:rPr>
              <w:rFonts w:ascii="Calibri" w:hAnsi="Calibri"/>
              <w:sz w:val="20"/>
            </w:rPr>
            <w:t xml:space="preserve">RELATÓRIO DE PARTICIPAÇÃO </w:t>
          </w:r>
        </w:p>
      </w:tc>
    </w:tr>
    <w:tr w:rsidR="00A13360">
      <w:tblPrEx>
        <w:tblCellMar>
          <w:top w:w="0" w:type="dxa"/>
          <w:bottom w:w="0" w:type="dxa"/>
        </w:tblCellMar>
      </w:tblPrEx>
      <w:trPr>
        <w:cantSplit/>
        <w:trHeight w:val="256"/>
      </w:trPr>
      <w:tc>
        <w:tcPr>
          <w:tcW w:w="9993" w:type="dxa"/>
          <w:gridSpan w:val="2"/>
          <w:tcBorders>
            <w:top w:val="double" w:sz="4" w:space="0" w:color="auto"/>
            <w:bottom w:val="double" w:sz="4" w:space="0" w:color="auto"/>
          </w:tcBorders>
        </w:tcPr>
        <w:p w:rsidR="00A13360" w:rsidRDefault="00A13360">
          <w:pPr>
            <w:pStyle w:val="Cabealho"/>
            <w:tabs>
              <w:tab w:val="clear" w:pos="4419"/>
              <w:tab w:val="clear" w:pos="8838"/>
            </w:tabs>
            <w:ind w:right="142"/>
            <w:jc w:val="center"/>
            <w:rPr>
              <w:rFonts w:ascii="Calibri" w:hAnsi="Calibri"/>
              <w:caps/>
              <w:color w:val="000080"/>
              <w:kern w:val="28"/>
              <w:sz w:val="20"/>
            </w:rPr>
          </w:pPr>
        </w:p>
        <w:p w:rsidR="00A13360" w:rsidRDefault="00A13360">
          <w:pPr>
            <w:pStyle w:val="Cabealho"/>
            <w:tabs>
              <w:tab w:val="clear" w:pos="4419"/>
              <w:tab w:val="clear" w:pos="8838"/>
            </w:tabs>
            <w:ind w:right="142"/>
            <w:jc w:val="center"/>
            <w:rPr>
              <w:rFonts w:ascii="Calibri" w:hAnsi="Calibri"/>
              <w:caps/>
              <w:color w:val="000080"/>
              <w:kern w:val="28"/>
              <w:sz w:val="20"/>
            </w:rPr>
          </w:pPr>
          <w:r>
            <w:rPr>
              <w:rFonts w:ascii="Calibri" w:hAnsi="Calibri"/>
              <w:caps/>
              <w:color w:val="000080"/>
              <w:kern w:val="28"/>
              <w:sz w:val="20"/>
            </w:rPr>
            <w:t>VIAGEM EM MISSÃO OFICIAL</w:t>
          </w:r>
        </w:p>
        <w:p w:rsidR="00A13360" w:rsidRDefault="00A13360">
          <w:pPr>
            <w:pStyle w:val="Cabealho"/>
            <w:tabs>
              <w:tab w:val="clear" w:pos="4419"/>
              <w:tab w:val="clear" w:pos="8838"/>
            </w:tabs>
            <w:ind w:right="142"/>
            <w:jc w:val="center"/>
            <w:rPr>
              <w:rFonts w:ascii="Calibri" w:hAnsi="Calibri"/>
            </w:rPr>
          </w:pPr>
        </w:p>
      </w:tc>
      <w:tc>
        <w:tcPr>
          <w:tcW w:w="160" w:type="dxa"/>
          <w:tcBorders>
            <w:top w:val="double" w:sz="4" w:space="0" w:color="auto"/>
            <w:bottom w:val="double" w:sz="4" w:space="0" w:color="auto"/>
          </w:tcBorders>
          <w:vAlign w:val="center"/>
        </w:tcPr>
        <w:p w:rsidR="00A13360" w:rsidRDefault="00A13360">
          <w:pPr>
            <w:pStyle w:val="Cabealho"/>
            <w:tabs>
              <w:tab w:val="clear" w:pos="4419"/>
              <w:tab w:val="clear" w:pos="8838"/>
            </w:tabs>
            <w:ind w:right="142"/>
            <w:jc w:val="right"/>
            <w:rPr>
              <w:rFonts w:ascii="Calibri" w:hAnsi="Calibri"/>
              <w:b w:val="0"/>
            </w:rPr>
          </w:pPr>
        </w:p>
      </w:tc>
    </w:tr>
  </w:tbl>
  <w:p w:rsidR="00A13360" w:rsidRDefault="00A13360">
    <w:pPr>
      <w:pStyle w:val="Cabealho"/>
      <w:rPr>
        <w:sz w:val="16"/>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8"/>
    <w:multiLevelType w:val="singleLevel"/>
    <w:tmpl w:val="90407D0A"/>
    <w:lvl w:ilvl="0">
      <w:start w:val="1"/>
      <w:numFmt w:val="decimal"/>
      <w:pStyle w:val="Numerada"/>
      <w:lvlText w:val="%1."/>
      <w:lvlJc w:val="left"/>
      <w:pPr>
        <w:tabs>
          <w:tab w:val="num" w:pos="360"/>
        </w:tabs>
        <w:ind w:left="360" w:hanging="360"/>
      </w:pPr>
    </w:lvl>
  </w:abstractNum>
  <w:abstractNum w:abstractNumId="1">
    <w:nsid w:val="00171EC3"/>
    <w:multiLevelType w:val="multilevel"/>
    <w:tmpl w:val="5E58E0C6"/>
    <w:lvl w:ilvl="0">
      <w:start w:val="1"/>
      <w:numFmt w:val="decimal"/>
      <w:lvlText w:val="%1."/>
      <w:lvlJc w:val="left"/>
      <w:pPr>
        <w:ind w:left="432" w:hanging="432"/>
      </w:pPr>
      <w:rPr>
        <w:rFonts w:ascii="Arial" w:eastAsia="Times New Roman" w:hAnsi="Arial" w:cs="Arial"/>
        <w:b/>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2">
    <w:nsid w:val="02B9246A"/>
    <w:multiLevelType w:val="multilevel"/>
    <w:tmpl w:val="A3381F66"/>
    <w:lvl w:ilvl="0">
      <w:start w:val="1"/>
      <w:numFmt w:val="none"/>
      <w:lvlText w:val="%1"/>
      <w:lvlJc w:val="left"/>
      <w:pPr>
        <w:tabs>
          <w:tab w:val="num" w:pos="360"/>
        </w:tabs>
        <w:ind w:left="0" w:firstLine="0"/>
      </w:pPr>
      <w:rPr>
        <w:rFonts w:ascii="Times New Roman" w:hAnsi="Times New Roman" w:hint="default"/>
        <w:b/>
        <w:i w:val="0"/>
        <w:sz w:val="24"/>
      </w:rPr>
    </w:lvl>
    <w:lvl w:ilvl="1">
      <w:start w:val="1"/>
      <w:numFmt w:val="decimal"/>
      <w:pStyle w:val="Ttulo2"/>
      <w:lvlText w:val="%1%2."/>
      <w:lvlJc w:val="left"/>
      <w:pPr>
        <w:tabs>
          <w:tab w:val="num" w:pos="360"/>
        </w:tabs>
        <w:ind w:left="0" w:firstLine="0"/>
      </w:pPr>
      <w:rPr>
        <w:rFonts w:ascii="Calibri" w:hAnsi="Calibri" w:hint="default"/>
        <w:b/>
        <w:i w:val="0"/>
        <w:sz w:val="24"/>
      </w:rPr>
    </w:lvl>
    <w:lvl w:ilvl="2">
      <w:start w:val="2"/>
      <w:numFmt w:val="decimal"/>
      <w:lvlText w:val="%2.%3."/>
      <w:lvlJc w:val="left"/>
      <w:pPr>
        <w:tabs>
          <w:tab w:val="num" w:pos="360"/>
        </w:tabs>
        <w:ind w:left="0" w:firstLine="0"/>
      </w:pPr>
      <w:rPr>
        <w:rFonts w:ascii="Arial" w:hAnsi="Arial" w:cs="Arial" w:hint="default"/>
        <w:b w:val="0"/>
        <w:i w:val="0"/>
        <w:sz w:val="20"/>
        <w:szCs w:val="20"/>
      </w:r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
    <w:nsid w:val="07EA46D6"/>
    <w:multiLevelType w:val="multilevel"/>
    <w:tmpl w:val="CF2EA102"/>
    <w:lvl w:ilvl="0">
      <w:start w:val="1"/>
      <w:numFmt w:val="decimal"/>
      <w:lvlText w:val="%1."/>
      <w:lvlJc w:val="left"/>
      <w:pPr>
        <w:tabs>
          <w:tab w:val="num" w:pos="390"/>
        </w:tabs>
        <w:ind w:left="390" w:hanging="390"/>
      </w:pPr>
      <w:rPr>
        <w:rFonts w:hint="default"/>
      </w:rPr>
    </w:lvl>
    <w:lvl w:ilvl="1">
      <w:start w:val="1"/>
      <w:numFmt w:val="decimal"/>
      <w:lvlText w:val="%1.%2."/>
      <w:lvlJc w:val="left"/>
      <w:pPr>
        <w:tabs>
          <w:tab w:val="num" w:pos="390"/>
        </w:tabs>
        <w:ind w:left="390" w:hanging="39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
    <w:nsid w:val="0E370989"/>
    <w:multiLevelType w:val="hybridMultilevel"/>
    <w:tmpl w:val="FE70CFEC"/>
    <w:lvl w:ilvl="0" w:tplc="501E19B8">
      <w:start w:val="3"/>
      <w:numFmt w:val="lowerLetter"/>
      <w:lvlText w:val="%1)"/>
      <w:lvlJc w:val="left"/>
      <w:pPr>
        <w:ind w:left="750" w:hanging="360"/>
      </w:pPr>
      <w:rPr>
        <w:rFonts w:hint="default"/>
      </w:rPr>
    </w:lvl>
    <w:lvl w:ilvl="1" w:tplc="04160019" w:tentative="1">
      <w:start w:val="1"/>
      <w:numFmt w:val="lowerLetter"/>
      <w:lvlText w:val="%2."/>
      <w:lvlJc w:val="left"/>
      <w:pPr>
        <w:ind w:left="1470" w:hanging="360"/>
      </w:pPr>
    </w:lvl>
    <w:lvl w:ilvl="2" w:tplc="0416001B" w:tentative="1">
      <w:start w:val="1"/>
      <w:numFmt w:val="lowerRoman"/>
      <w:lvlText w:val="%3."/>
      <w:lvlJc w:val="right"/>
      <w:pPr>
        <w:ind w:left="2190" w:hanging="180"/>
      </w:pPr>
    </w:lvl>
    <w:lvl w:ilvl="3" w:tplc="0416000F" w:tentative="1">
      <w:start w:val="1"/>
      <w:numFmt w:val="decimal"/>
      <w:lvlText w:val="%4."/>
      <w:lvlJc w:val="left"/>
      <w:pPr>
        <w:ind w:left="2910" w:hanging="360"/>
      </w:pPr>
    </w:lvl>
    <w:lvl w:ilvl="4" w:tplc="04160019" w:tentative="1">
      <w:start w:val="1"/>
      <w:numFmt w:val="lowerLetter"/>
      <w:lvlText w:val="%5."/>
      <w:lvlJc w:val="left"/>
      <w:pPr>
        <w:ind w:left="3630" w:hanging="360"/>
      </w:pPr>
    </w:lvl>
    <w:lvl w:ilvl="5" w:tplc="0416001B" w:tentative="1">
      <w:start w:val="1"/>
      <w:numFmt w:val="lowerRoman"/>
      <w:lvlText w:val="%6."/>
      <w:lvlJc w:val="right"/>
      <w:pPr>
        <w:ind w:left="4350" w:hanging="180"/>
      </w:pPr>
    </w:lvl>
    <w:lvl w:ilvl="6" w:tplc="0416000F" w:tentative="1">
      <w:start w:val="1"/>
      <w:numFmt w:val="decimal"/>
      <w:lvlText w:val="%7."/>
      <w:lvlJc w:val="left"/>
      <w:pPr>
        <w:ind w:left="5070" w:hanging="360"/>
      </w:pPr>
    </w:lvl>
    <w:lvl w:ilvl="7" w:tplc="04160019" w:tentative="1">
      <w:start w:val="1"/>
      <w:numFmt w:val="lowerLetter"/>
      <w:lvlText w:val="%8."/>
      <w:lvlJc w:val="left"/>
      <w:pPr>
        <w:ind w:left="5790" w:hanging="360"/>
      </w:pPr>
    </w:lvl>
    <w:lvl w:ilvl="8" w:tplc="0416001B" w:tentative="1">
      <w:start w:val="1"/>
      <w:numFmt w:val="lowerRoman"/>
      <w:lvlText w:val="%9."/>
      <w:lvlJc w:val="right"/>
      <w:pPr>
        <w:ind w:left="6510" w:hanging="180"/>
      </w:pPr>
    </w:lvl>
  </w:abstractNum>
  <w:abstractNum w:abstractNumId="5">
    <w:nsid w:val="1289549F"/>
    <w:multiLevelType w:val="singleLevel"/>
    <w:tmpl w:val="60425D7C"/>
    <w:lvl w:ilvl="0">
      <w:start w:val="1"/>
      <w:numFmt w:val="upperRoman"/>
      <w:pStyle w:val="Ttulo6"/>
      <w:lvlText w:val="%1)"/>
      <w:lvlJc w:val="left"/>
      <w:pPr>
        <w:tabs>
          <w:tab w:val="num" w:pos="720"/>
        </w:tabs>
        <w:ind w:left="720" w:hanging="720"/>
      </w:pPr>
      <w:rPr>
        <w:rFonts w:hint="default"/>
      </w:rPr>
    </w:lvl>
  </w:abstractNum>
  <w:abstractNum w:abstractNumId="6">
    <w:nsid w:val="187D2CA6"/>
    <w:multiLevelType w:val="multilevel"/>
    <w:tmpl w:val="1C925396"/>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279F41DC"/>
    <w:multiLevelType w:val="hybridMultilevel"/>
    <w:tmpl w:val="EE86181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nsid w:val="3B131102"/>
    <w:multiLevelType w:val="hybridMultilevel"/>
    <w:tmpl w:val="6FA6C256"/>
    <w:lvl w:ilvl="0" w:tplc="D30E580E">
      <w:start w:val="1"/>
      <w:numFmt w:val="lowerLetter"/>
      <w:lvlText w:val="%1)"/>
      <w:lvlJc w:val="left"/>
      <w:pPr>
        <w:ind w:left="750" w:hanging="360"/>
      </w:pPr>
      <w:rPr>
        <w:rFonts w:hint="default"/>
      </w:rPr>
    </w:lvl>
    <w:lvl w:ilvl="1" w:tplc="04160019" w:tentative="1">
      <w:start w:val="1"/>
      <w:numFmt w:val="lowerLetter"/>
      <w:lvlText w:val="%2."/>
      <w:lvlJc w:val="left"/>
      <w:pPr>
        <w:ind w:left="1470" w:hanging="360"/>
      </w:pPr>
    </w:lvl>
    <w:lvl w:ilvl="2" w:tplc="0416001B" w:tentative="1">
      <w:start w:val="1"/>
      <w:numFmt w:val="lowerRoman"/>
      <w:lvlText w:val="%3."/>
      <w:lvlJc w:val="right"/>
      <w:pPr>
        <w:ind w:left="2190" w:hanging="180"/>
      </w:pPr>
    </w:lvl>
    <w:lvl w:ilvl="3" w:tplc="0416000F" w:tentative="1">
      <w:start w:val="1"/>
      <w:numFmt w:val="decimal"/>
      <w:lvlText w:val="%4."/>
      <w:lvlJc w:val="left"/>
      <w:pPr>
        <w:ind w:left="2910" w:hanging="360"/>
      </w:pPr>
    </w:lvl>
    <w:lvl w:ilvl="4" w:tplc="04160019" w:tentative="1">
      <w:start w:val="1"/>
      <w:numFmt w:val="lowerLetter"/>
      <w:lvlText w:val="%5."/>
      <w:lvlJc w:val="left"/>
      <w:pPr>
        <w:ind w:left="3630" w:hanging="360"/>
      </w:pPr>
    </w:lvl>
    <w:lvl w:ilvl="5" w:tplc="0416001B" w:tentative="1">
      <w:start w:val="1"/>
      <w:numFmt w:val="lowerRoman"/>
      <w:lvlText w:val="%6."/>
      <w:lvlJc w:val="right"/>
      <w:pPr>
        <w:ind w:left="4350" w:hanging="180"/>
      </w:pPr>
    </w:lvl>
    <w:lvl w:ilvl="6" w:tplc="0416000F" w:tentative="1">
      <w:start w:val="1"/>
      <w:numFmt w:val="decimal"/>
      <w:lvlText w:val="%7."/>
      <w:lvlJc w:val="left"/>
      <w:pPr>
        <w:ind w:left="5070" w:hanging="360"/>
      </w:pPr>
    </w:lvl>
    <w:lvl w:ilvl="7" w:tplc="04160019" w:tentative="1">
      <w:start w:val="1"/>
      <w:numFmt w:val="lowerLetter"/>
      <w:lvlText w:val="%8."/>
      <w:lvlJc w:val="left"/>
      <w:pPr>
        <w:ind w:left="5790" w:hanging="360"/>
      </w:pPr>
    </w:lvl>
    <w:lvl w:ilvl="8" w:tplc="0416001B" w:tentative="1">
      <w:start w:val="1"/>
      <w:numFmt w:val="lowerRoman"/>
      <w:lvlText w:val="%9."/>
      <w:lvlJc w:val="right"/>
      <w:pPr>
        <w:ind w:left="6510" w:hanging="180"/>
      </w:pPr>
    </w:lvl>
  </w:abstractNum>
  <w:abstractNum w:abstractNumId="9">
    <w:nsid w:val="4255673F"/>
    <w:multiLevelType w:val="multilevel"/>
    <w:tmpl w:val="2CE0EEC0"/>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390"/>
        </w:tabs>
        <w:ind w:left="390" w:hanging="39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
    <w:nsid w:val="45337385"/>
    <w:multiLevelType w:val="hybridMultilevel"/>
    <w:tmpl w:val="51B8606A"/>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nsid w:val="468F268A"/>
    <w:multiLevelType w:val="singleLevel"/>
    <w:tmpl w:val="CE6A3590"/>
    <w:lvl w:ilvl="0">
      <w:start w:val="1"/>
      <w:numFmt w:val="bullet"/>
      <w:pStyle w:val="Marcador"/>
      <w:lvlText w:val=""/>
      <w:lvlJc w:val="left"/>
      <w:pPr>
        <w:tabs>
          <w:tab w:val="num" w:pos="397"/>
        </w:tabs>
        <w:ind w:left="397" w:hanging="397"/>
      </w:pPr>
      <w:rPr>
        <w:rFonts w:ascii="Symbol" w:hAnsi="Symbol" w:hint="default"/>
        <w:sz w:val="16"/>
      </w:rPr>
    </w:lvl>
  </w:abstractNum>
  <w:abstractNum w:abstractNumId="12">
    <w:nsid w:val="4BC468D5"/>
    <w:multiLevelType w:val="hybridMultilevel"/>
    <w:tmpl w:val="640803FE"/>
    <w:lvl w:ilvl="0" w:tplc="04160017">
      <w:start w:val="1"/>
      <w:numFmt w:val="lowerLetter"/>
      <w:lvlText w:val="%1)"/>
      <w:lvlJc w:val="left"/>
      <w:pPr>
        <w:ind w:left="720" w:hanging="360"/>
      </w:pPr>
      <w:rPr>
        <w:rFonts w:cs="Times New Roman"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nsid w:val="7A5321E5"/>
    <w:multiLevelType w:val="hybridMultilevel"/>
    <w:tmpl w:val="3B78B7C6"/>
    <w:lvl w:ilvl="0" w:tplc="D8B89CF8">
      <w:start w:val="5"/>
      <w:numFmt w:val="decimal"/>
      <w:lvlText w:val="%1."/>
      <w:lvlJc w:val="left"/>
      <w:pPr>
        <w:ind w:left="720" w:hanging="360"/>
      </w:pPr>
      <w:rPr>
        <w:rFonts w:hint="default"/>
        <w:b/>
        <w:u w:val="single"/>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0"/>
  </w:num>
  <w:num w:numId="2">
    <w:abstractNumId w:val="2"/>
  </w:num>
  <w:num w:numId="3">
    <w:abstractNumId w:val="11"/>
  </w:num>
  <w:num w:numId="4">
    <w:abstractNumId w:val="5"/>
  </w:num>
  <w:num w:numId="5">
    <w:abstractNumId w:val="1"/>
  </w:num>
  <w:num w:numId="6">
    <w:abstractNumId w:val="9"/>
  </w:num>
  <w:num w:numId="7">
    <w:abstractNumId w:val="8"/>
  </w:num>
  <w:num w:numId="8">
    <w:abstractNumId w:val="6"/>
  </w:num>
  <w:num w:numId="9">
    <w:abstractNumId w:val="12"/>
  </w:num>
  <w:num w:numId="10">
    <w:abstractNumId w:val="4"/>
  </w:num>
  <w:num w:numId="11">
    <w:abstractNumId w:val="7"/>
  </w:num>
  <w:num w:numId="12">
    <w:abstractNumId w:val="3"/>
  </w:num>
  <w:num w:numId="13">
    <w:abstractNumId w:val="10"/>
  </w:num>
  <w:num w:numId="14">
    <w:abstractNumId w:val="1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proofState w:spelling="clean" w:grammar="clean"/>
  <w:defaultTabStop w:val="709"/>
  <w:hyphenationZone w:val="425"/>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rsids>
    <w:rsidRoot w:val="00C1155B"/>
    <w:rsid w:val="00010D30"/>
    <w:rsid w:val="00025298"/>
    <w:rsid w:val="00033D19"/>
    <w:rsid w:val="00046FA6"/>
    <w:rsid w:val="00053B4B"/>
    <w:rsid w:val="00060ADF"/>
    <w:rsid w:val="0009020A"/>
    <w:rsid w:val="000B1945"/>
    <w:rsid w:val="000B63FC"/>
    <w:rsid w:val="00127904"/>
    <w:rsid w:val="00163C8E"/>
    <w:rsid w:val="00165711"/>
    <w:rsid w:val="00165A26"/>
    <w:rsid w:val="00191700"/>
    <w:rsid w:val="00194D15"/>
    <w:rsid w:val="001B4BA1"/>
    <w:rsid w:val="00200A9D"/>
    <w:rsid w:val="00202707"/>
    <w:rsid w:val="00210F8C"/>
    <w:rsid w:val="00213D6A"/>
    <w:rsid w:val="00217BD8"/>
    <w:rsid w:val="00283927"/>
    <w:rsid w:val="0029418D"/>
    <w:rsid w:val="002A7BFD"/>
    <w:rsid w:val="002B1E74"/>
    <w:rsid w:val="002C44D5"/>
    <w:rsid w:val="002C5B39"/>
    <w:rsid w:val="002D7934"/>
    <w:rsid w:val="002F0C51"/>
    <w:rsid w:val="002F267D"/>
    <w:rsid w:val="00331B79"/>
    <w:rsid w:val="00337916"/>
    <w:rsid w:val="0034022C"/>
    <w:rsid w:val="0034291A"/>
    <w:rsid w:val="00344867"/>
    <w:rsid w:val="0037586D"/>
    <w:rsid w:val="00386518"/>
    <w:rsid w:val="003D0E24"/>
    <w:rsid w:val="003E00FF"/>
    <w:rsid w:val="003E2854"/>
    <w:rsid w:val="004012C5"/>
    <w:rsid w:val="0040152B"/>
    <w:rsid w:val="00407159"/>
    <w:rsid w:val="00416655"/>
    <w:rsid w:val="00426E4A"/>
    <w:rsid w:val="00433A83"/>
    <w:rsid w:val="00443EAE"/>
    <w:rsid w:val="004623F7"/>
    <w:rsid w:val="00467722"/>
    <w:rsid w:val="004A65EB"/>
    <w:rsid w:val="004B3875"/>
    <w:rsid w:val="004C7682"/>
    <w:rsid w:val="004E5B24"/>
    <w:rsid w:val="00502AD9"/>
    <w:rsid w:val="00534BBD"/>
    <w:rsid w:val="005435FB"/>
    <w:rsid w:val="00550A00"/>
    <w:rsid w:val="00556400"/>
    <w:rsid w:val="0056741D"/>
    <w:rsid w:val="005A125B"/>
    <w:rsid w:val="005F2C13"/>
    <w:rsid w:val="00600EBB"/>
    <w:rsid w:val="006010B6"/>
    <w:rsid w:val="0061595B"/>
    <w:rsid w:val="00620E82"/>
    <w:rsid w:val="006316F0"/>
    <w:rsid w:val="00636823"/>
    <w:rsid w:val="006566C3"/>
    <w:rsid w:val="006D0831"/>
    <w:rsid w:val="006D1DB9"/>
    <w:rsid w:val="006F4099"/>
    <w:rsid w:val="00702CED"/>
    <w:rsid w:val="00704319"/>
    <w:rsid w:val="007344B2"/>
    <w:rsid w:val="007458A6"/>
    <w:rsid w:val="00753A6D"/>
    <w:rsid w:val="007707F8"/>
    <w:rsid w:val="00771A0F"/>
    <w:rsid w:val="00792CE2"/>
    <w:rsid w:val="00793C6D"/>
    <w:rsid w:val="007A7191"/>
    <w:rsid w:val="007C126A"/>
    <w:rsid w:val="007E78A9"/>
    <w:rsid w:val="00816067"/>
    <w:rsid w:val="00817E00"/>
    <w:rsid w:val="00820F86"/>
    <w:rsid w:val="00831AE9"/>
    <w:rsid w:val="00844FBA"/>
    <w:rsid w:val="00870BD8"/>
    <w:rsid w:val="00882FD0"/>
    <w:rsid w:val="008A2855"/>
    <w:rsid w:val="008E11B3"/>
    <w:rsid w:val="00900B78"/>
    <w:rsid w:val="009123FB"/>
    <w:rsid w:val="00935791"/>
    <w:rsid w:val="00953201"/>
    <w:rsid w:val="00956CB5"/>
    <w:rsid w:val="00965FC6"/>
    <w:rsid w:val="009853BA"/>
    <w:rsid w:val="00992906"/>
    <w:rsid w:val="00997719"/>
    <w:rsid w:val="009C4B3C"/>
    <w:rsid w:val="009D41E2"/>
    <w:rsid w:val="009E227C"/>
    <w:rsid w:val="00A0258E"/>
    <w:rsid w:val="00A13360"/>
    <w:rsid w:val="00A165E9"/>
    <w:rsid w:val="00A420FA"/>
    <w:rsid w:val="00A45E73"/>
    <w:rsid w:val="00A63217"/>
    <w:rsid w:val="00A70B9F"/>
    <w:rsid w:val="00A80EBC"/>
    <w:rsid w:val="00AA433B"/>
    <w:rsid w:val="00AF31E8"/>
    <w:rsid w:val="00B27CB9"/>
    <w:rsid w:val="00B34879"/>
    <w:rsid w:val="00B35A56"/>
    <w:rsid w:val="00B429EC"/>
    <w:rsid w:val="00B633A8"/>
    <w:rsid w:val="00B6654F"/>
    <w:rsid w:val="00B6774D"/>
    <w:rsid w:val="00B8764B"/>
    <w:rsid w:val="00BA7AFC"/>
    <w:rsid w:val="00BC2669"/>
    <w:rsid w:val="00BD545F"/>
    <w:rsid w:val="00BE650A"/>
    <w:rsid w:val="00C061C6"/>
    <w:rsid w:val="00C10EAF"/>
    <w:rsid w:val="00C1155B"/>
    <w:rsid w:val="00C14B30"/>
    <w:rsid w:val="00C2327E"/>
    <w:rsid w:val="00C267C7"/>
    <w:rsid w:val="00C26C59"/>
    <w:rsid w:val="00C30C8B"/>
    <w:rsid w:val="00C413BD"/>
    <w:rsid w:val="00C646EA"/>
    <w:rsid w:val="00C84A5E"/>
    <w:rsid w:val="00CB0C7D"/>
    <w:rsid w:val="00CB179F"/>
    <w:rsid w:val="00CE0702"/>
    <w:rsid w:val="00CF5F4D"/>
    <w:rsid w:val="00CF75EF"/>
    <w:rsid w:val="00D10FC3"/>
    <w:rsid w:val="00D14322"/>
    <w:rsid w:val="00D3322D"/>
    <w:rsid w:val="00D455D2"/>
    <w:rsid w:val="00D57EF9"/>
    <w:rsid w:val="00D606D6"/>
    <w:rsid w:val="00D720D5"/>
    <w:rsid w:val="00D807EA"/>
    <w:rsid w:val="00DC52ED"/>
    <w:rsid w:val="00DC5BFD"/>
    <w:rsid w:val="00DF6148"/>
    <w:rsid w:val="00E05B49"/>
    <w:rsid w:val="00E3266A"/>
    <w:rsid w:val="00E33589"/>
    <w:rsid w:val="00E9428B"/>
    <w:rsid w:val="00E94E1C"/>
    <w:rsid w:val="00ED5B0B"/>
    <w:rsid w:val="00EE2BAE"/>
    <w:rsid w:val="00F02D1C"/>
    <w:rsid w:val="00F25839"/>
    <w:rsid w:val="00F31AE7"/>
    <w:rsid w:val="00F36833"/>
    <w:rsid w:val="00F94352"/>
    <w:rsid w:val="00FA5DFF"/>
    <w:rsid w:val="00FD651D"/>
    <w:rsid w:val="00FE4973"/>
    <w:rsid w:val="00FF3E21"/>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40" w:after="40"/>
    </w:pPr>
    <w:rPr>
      <w:sz w:val="22"/>
    </w:rPr>
  </w:style>
  <w:style w:type="paragraph" w:styleId="Ttulo1">
    <w:name w:val="heading 1"/>
    <w:qFormat/>
    <w:pPr>
      <w:keepNext/>
      <w:spacing w:before="120" w:after="120"/>
      <w:jc w:val="center"/>
      <w:outlineLvl w:val="0"/>
    </w:pPr>
    <w:rPr>
      <w:b/>
      <w:caps/>
      <w:noProof/>
      <w:color w:val="000080"/>
      <w:kern w:val="28"/>
    </w:rPr>
  </w:style>
  <w:style w:type="paragraph" w:styleId="Ttulo2">
    <w:name w:val="heading 2"/>
    <w:qFormat/>
    <w:pPr>
      <w:keepNext/>
      <w:numPr>
        <w:ilvl w:val="1"/>
        <w:numId w:val="2"/>
      </w:numPr>
      <w:spacing w:before="240" w:after="40"/>
      <w:outlineLvl w:val="1"/>
    </w:pPr>
    <w:rPr>
      <w:b/>
      <w:sz w:val="24"/>
    </w:rPr>
  </w:style>
  <w:style w:type="paragraph" w:styleId="Ttulo3">
    <w:name w:val="heading 3"/>
    <w:next w:val="Normal"/>
    <w:qFormat/>
    <w:pPr>
      <w:keepNext/>
      <w:spacing w:before="40" w:after="40"/>
      <w:jc w:val="center"/>
      <w:outlineLvl w:val="2"/>
    </w:pPr>
    <w:rPr>
      <w:sz w:val="18"/>
    </w:rPr>
  </w:style>
  <w:style w:type="paragraph" w:styleId="Ttulo4">
    <w:name w:val="heading 4"/>
    <w:basedOn w:val="Normal"/>
    <w:next w:val="Normal"/>
    <w:qFormat/>
    <w:pPr>
      <w:keepNext/>
      <w:suppressAutoHyphens/>
      <w:spacing w:before="0" w:after="0"/>
      <w:jc w:val="both"/>
      <w:outlineLvl w:val="3"/>
    </w:pPr>
    <w:rPr>
      <w:rFonts w:ascii="Verdana" w:hAnsi="Verdana"/>
      <w:b/>
      <w:sz w:val="24"/>
    </w:rPr>
  </w:style>
  <w:style w:type="paragraph" w:styleId="Ttulo5">
    <w:name w:val="heading 5"/>
    <w:basedOn w:val="Normal"/>
    <w:next w:val="Normal"/>
    <w:qFormat/>
    <w:pPr>
      <w:keepNext/>
      <w:jc w:val="both"/>
      <w:outlineLvl w:val="4"/>
    </w:pPr>
    <w:rPr>
      <w:b/>
    </w:rPr>
  </w:style>
  <w:style w:type="paragraph" w:styleId="Ttulo6">
    <w:name w:val="heading 6"/>
    <w:basedOn w:val="Normal"/>
    <w:next w:val="Normal"/>
    <w:qFormat/>
    <w:pPr>
      <w:keepNext/>
      <w:numPr>
        <w:numId w:val="4"/>
      </w:numPr>
      <w:outlineLvl w:val="5"/>
    </w:pPr>
    <w:rPr>
      <w:rFonts w:ascii="Calibri" w:hAnsi="Calibri"/>
      <w:b/>
      <w:sz w:val="20"/>
    </w:rPr>
  </w:style>
  <w:style w:type="character" w:default="1" w:styleId="Fontepargpadro">
    <w:name w:val="Default Paragraph Font"/>
    <w:semiHidden/>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semiHidden/>
    <w:pPr>
      <w:tabs>
        <w:tab w:val="center" w:pos="4419"/>
        <w:tab w:val="right" w:pos="8838"/>
      </w:tabs>
    </w:pPr>
    <w:rPr>
      <w:b/>
      <w:noProof/>
      <w:sz w:val="18"/>
    </w:rPr>
  </w:style>
  <w:style w:type="paragraph" w:styleId="Rodap">
    <w:name w:val="footer"/>
    <w:semiHidden/>
    <w:pPr>
      <w:tabs>
        <w:tab w:val="center" w:pos="4419"/>
        <w:tab w:val="right" w:pos="8838"/>
      </w:tabs>
    </w:pPr>
    <w:rPr>
      <w:rFonts w:ascii="Tahoma" w:hAnsi="Tahoma"/>
      <w:noProof/>
      <w:sz w:val="16"/>
    </w:rPr>
  </w:style>
  <w:style w:type="character" w:styleId="Nmerodepgina">
    <w:name w:val="page number"/>
    <w:basedOn w:val="Fontepargpadro"/>
    <w:semiHidden/>
  </w:style>
  <w:style w:type="paragraph" w:customStyle="1" w:styleId="Marcador">
    <w:name w:val="Marcador ."/>
    <w:basedOn w:val="Normal"/>
    <w:pPr>
      <w:numPr>
        <w:numId w:val="3"/>
      </w:numPr>
    </w:pPr>
  </w:style>
  <w:style w:type="paragraph" w:styleId="Numerada">
    <w:name w:val="List Number"/>
    <w:basedOn w:val="Normal"/>
    <w:semiHidden/>
    <w:pPr>
      <w:numPr>
        <w:numId w:val="1"/>
      </w:numPr>
      <w:spacing w:before="120"/>
    </w:pPr>
    <w:rPr>
      <w:rFonts w:ascii="Arial (W1)" w:hAnsi="Arial (W1)"/>
      <w:b/>
    </w:rPr>
  </w:style>
  <w:style w:type="paragraph" w:customStyle="1" w:styleId="numer">
    <w:name w:val="numer"/>
    <w:basedOn w:val="Normal"/>
    <w:autoRedefine/>
    <w:pPr>
      <w:spacing w:before="120"/>
    </w:pPr>
    <w:rPr>
      <w:rFonts w:ascii="Arial" w:hAnsi="Arial"/>
      <w:b/>
    </w:rPr>
  </w:style>
  <w:style w:type="paragraph" w:customStyle="1" w:styleId="espaamento">
    <w:name w:val="espaçamento"/>
    <w:basedOn w:val="Normal"/>
    <w:autoRedefine/>
    <w:rPr>
      <w:rFonts w:ascii="Arial (W1)" w:hAnsi="Arial (W1)"/>
      <w:b/>
      <w:sz w:val="14"/>
    </w:rPr>
  </w:style>
  <w:style w:type="character" w:styleId="Hyperlink">
    <w:name w:val="Hyperlink"/>
    <w:semiHidden/>
    <w:rPr>
      <w:color w:val="0000FF"/>
      <w:u w:val="single"/>
    </w:rPr>
  </w:style>
  <w:style w:type="paragraph" w:styleId="Textodenotaderodap">
    <w:name w:val="footnote text"/>
    <w:basedOn w:val="Normal"/>
    <w:semiHidden/>
    <w:rPr>
      <w:sz w:val="20"/>
    </w:rPr>
  </w:style>
  <w:style w:type="character" w:styleId="Refdenotaderodap">
    <w:name w:val="footnote reference"/>
    <w:semiHidden/>
    <w:rPr>
      <w:vertAlign w:val="superscript"/>
    </w:rPr>
  </w:style>
  <w:style w:type="paragraph" w:styleId="Corpodetexto">
    <w:name w:val="Body Text"/>
    <w:basedOn w:val="Normal"/>
    <w:semiHidden/>
    <w:pPr>
      <w:spacing w:before="0" w:after="0"/>
    </w:pPr>
    <w:rPr>
      <w:rFonts w:ascii="Arial" w:hAnsi="Arial"/>
      <w:sz w:val="24"/>
    </w:rPr>
  </w:style>
  <w:style w:type="character" w:styleId="Forte">
    <w:name w:val="Strong"/>
    <w:qFormat/>
    <w:rPr>
      <w:b/>
    </w:rPr>
  </w:style>
  <w:style w:type="paragraph" w:styleId="Corpodetexto2">
    <w:name w:val="Body Text 2"/>
    <w:basedOn w:val="Normal"/>
    <w:semiHidden/>
    <w:pPr>
      <w:jc w:val="both"/>
    </w:pPr>
  </w:style>
  <w:style w:type="paragraph" w:styleId="Corpodetexto3">
    <w:name w:val="Body Text 3"/>
    <w:basedOn w:val="Normal"/>
    <w:semiHidden/>
    <w:pPr>
      <w:jc w:val="both"/>
    </w:pPr>
    <w:rPr>
      <w:b/>
    </w:rPr>
  </w:style>
  <w:style w:type="character" w:styleId="HiperlinkVisitado">
    <w:name w:val="FollowedHyperlink"/>
    <w:semiHidden/>
    <w:rPr>
      <w:color w:val="800080"/>
      <w:u w:val="single"/>
    </w:rPr>
  </w:style>
  <w:style w:type="paragraph" w:styleId="Recuodecorpodetexto">
    <w:name w:val="Body Text Indent"/>
    <w:basedOn w:val="Normal"/>
    <w:semiHidden/>
    <w:pPr>
      <w:suppressAutoHyphens/>
      <w:spacing w:before="0" w:after="0"/>
      <w:ind w:left="709" w:firstLine="708"/>
      <w:jc w:val="both"/>
    </w:pPr>
    <w:rPr>
      <w:rFonts w:ascii="Arial" w:hAnsi="Arial"/>
      <w:sz w:val="24"/>
    </w:rPr>
  </w:style>
  <w:style w:type="paragraph" w:customStyle="1" w:styleId="WW-Padro">
    <w:name w:val="WW-Padrão"/>
    <w:pPr>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uppressAutoHyphens/>
      <w:spacing w:line="200" w:lineRule="atLeast"/>
    </w:pPr>
    <w:rPr>
      <w:rFonts w:ascii="Tahoma" w:eastAsia="Arial Unicode MS" w:hAnsi="Tahoma"/>
      <w:color w:val="000000"/>
      <w:sz w:val="48"/>
    </w:rPr>
  </w:style>
  <w:style w:type="paragraph" w:styleId="MapadoDocumento">
    <w:name w:val="Document Map"/>
    <w:basedOn w:val="Normal"/>
    <w:semiHidden/>
    <w:pPr>
      <w:shd w:val="clear" w:color="auto" w:fill="000080"/>
    </w:pPr>
    <w:rPr>
      <w:rFonts w:ascii="Tahoma" w:hAnsi="Tahoma"/>
    </w:rPr>
  </w:style>
  <w:style w:type="paragraph" w:styleId="PargrafodaLista">
    <w:name w:val="List Paragraph"/>
    <w:basedOn w:val="Normal"/>
    <w:uiPriority w:val="34"/>
    <w:qFormat/>
    <w:rsid w:val="00191700"/>
    <w:pPr>
      <w:ind w:left="708"/>
    </w:pPr>
  </w:style>
  <w:style w:type="paragraph" w:styleId="Textodebalo">
    <w:name w:val="Balloon Text"/>
    <w:basedOn w:val="Normal"/>
    <w:link w:val="TextodebaloChar"/>
    <w:uiPriority w:val="99"/>
    <w:semiHidden/>
    <w:unhideWhenUsed/>
    <w:rsid w:val="00165711"/>
    <w:pPr>
      <w:spacing w:before="0" w:after="0"/>
    </w:pPr>
    <w:rPr>
      <w:rFonts w:ascii="Tahoma" w:hAnsi="Tahoma" w:cs="Tahoma"/>
      <w:sz w:val="16"/>
      <w:szCs w:val="16"/>
    </w:rPr>
  </w:style>
  <w:style w:type="character" w:customStyle="1" w:styleId="TextodebaloChar">
    <w:name w:val="Texto de balão Char"/>
    <w:link w:val="Textodebalo"/>
    <w:uiPriority w:val="99"/>
    <w:semiHidden/>
    <w:rsid w:val="00165711"/>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727994272">
      <w:bodyDiv w:val="1"/>
      <w:marLeft w:val="0"/>
      <w:marRight w:val="0"/>
      <w:marTop w:val="0"/>
      <w:marBottom w:val="0"/>
      <w:divBdr>
        <w:top w:val="none" w:sz="0" w:space="0" w:color="auto"/>
        <w:left w:val="none" w:sz="0" w:space="0" w:color="auto"/>
        <w:bottom w:val="none" w:sz="0" w:space="0" w:color="auto"/>
        <w:right w:val="none" w:sz="0" w:space="0" w:color="auto"/>
      </w:divBdr>
      <w:divsChild>
        <w:div w:id="4016935">
          <w:marLeft w:val="0"/>
          <w:marRight w:val="0"/>
          <w:marTop w:val="0"/>
          <w:marBottom w:val="0"/>
          <w:divBdr>
            <w:top w:val="none" w:sz="0" w:space="0" w:color="auto"/>
            <w:left w:val="none" w:sz="0" w:space="0" w:color="auto"/>
            <w:bottom w:val="none" w:sz="0" w:space="0" w:color="auto"/>
            <w:right w:val="none" w:sz="0" w:space="0" w:color="auto"/>
          </w:divBdr>
        </w:div>
        <w:div w:id="22482854">
          <w:marLeft w:val="0"/>
          <w:marRight w:val="0"/>
          <w:marTop w:val="0"/>
          <w:marBottom w:val="0"/>
          <w:divBdr>
            <w:top w:val="none" w:sz="0" w:space="0" w:color="auto"/>
            <w:left w:val="none" w:sz="0" w:space="0" w:color="auto"/>
            <w:bottom w:val="none" w:sz="0" w:space="0" w:color="auto"/>
            <w:right w:val="none" w:sz="0" w:space="0" w:color="auto"/>
          </w:divBdr>
        </w:div>
        <w:div w:id="67115046">
          <w:marLeft w:val="0"/>
          <w:marRight w:val="0"/>
          <w:marTop w:val="0"/>
          <w:marBottom w:val="0"/>
          <w:divBdr>
            <w:top w:val="none" w:sz="0" w:space="0" w:color="auto"/>
            <w:left w:val="none" w:sz="0" w:space="0" w:color="auto"/>
            <w:bottom w:val="none" w:sz="0" w:space="0" w:color="auto"/>
            <w:right w:val="none" w:sz="0" w:space="0" w:color="auto"/>
          </w:divBdr>
        </w:div>
        <w:div w:id="105657478">
          <w:marLeft w:val="0"/>
          <w:marRight w:val="0"/>
          <w:marTop w:val="0"/>
          <w:marBottom w:val="0"/>
          <w:divBdr>
            <w:top w:val="none" w:sz="0" w:space="0" w:color="auto"/>
            <w:left w:val="none" w:sz="0" w:space="0" w:color="auto"/>
            <w:bottom w:val="none" w:sz="0" w:space="0" w:color="auto"/>
            <w:right w:val="none" w:sz="0" w:space="0" w:color="auto"/>
          </w:divBdr>
        </w:div>
        <w:div w:id="115683562">
          <w:marLeft w:val="0"/>
          <w:marRight w:val="0"/>
          <w:marTop w:val="0"/>
          <w:marBottom w:val="0"/>
          <w:divBdr>
            <w:top w:val="none" w:sz="0" w:space="0" w:color="auto"/>
            <w:left w:val="none" w:sz="0" w:space="0" w:color="auto"/>
            <w:bottom w:val="none" w:sz="0" w:space="0" w:color="auto"/>
            <w:right w:val="none" w:sz="0" w:space="0" w:color="auto"/>
          </w:divBdr>
        </w:div>
        <w:div w:id="115760680">
          <w:marLeft w:val="0"/>
          <w:marRight w:val="0"/>
          <w:marTop w:val="0"/>
          <w:marBottom w:val="0"/>
          <w:divBdr>
            <w:top w:val="none" w:sz="0" w:space="0" w:color="auto"/>
            <w:left w:val="none" w:sz="0" w:space="0" w:color="auto"/>
            <w:bottom w:val="none" w:sz="0" w:space="0" w:color="auto"/>
            <w:right w:val="none" w:sz="0" w:space="0" w:color="auto"/>
          </w:divBdr>
        </w:div>
        <w:div w:id="144931195">
          <w:marLeft w:val="0"/>
          <w:marRight w:val="0"/>
          <w:marTop w:val="0"/>
          <w:marBottom w:val="0"/>
          <w:divBdr>
            <w:top w:val="none" w:sz="0" w:space="0" w:color="auto"/>
            <w:left w:val="none" w:sz="0" w:space="0" w:color="auto"/>
            <w:bottom w:val="none" w:sz="0" w:space="0" w:color="auto"/>
            <w:right w:val="none" w:sz="0" w:space="0" w:color="auto"/>
          </w:divBdr>
        </w:div>
        <w:div w:id="165019727">
          <w:marLeft w:val="0"/>
          <w:marRight w:val="0"/>
          <w:marTop w:val="0"/>
          <w:marBottom w:val="0"/>
          <w:divBdr>
            <w:top w:val="none" w:sz="0" w:space="0" w:color="auto"/>
            <w:left w:val="none" w:sz="0" w:space="0" w:color="auto"/>
            <w:bottom w:val="none" w:sz="0" w:space="0" w:color="auto"/>
            <w:right w:val="none" w:sz="0" w:space="0" w:color="auto"/>
          </w:divBdr>
        </w:div>
        <w:div w:id="198124818">
          <w:marLeft w:val="0"/>
          <w:marRight w:val="0"/>
          <w:marTop w:val="0"/>
          <w:marBottom w:val="0"/>
          <w:divBdr>
            <w:top w:val="none" w:sz="0" w:space="0" w:color="auto"/>
            <w:left w:val="none" w:sz="0" w:space="0" w:color="auto"/>
            <w:bottom w:val="none" w:sz="0" w:space="0" w:color="auto"/>
            <w:right w:val="none" w:sz="0" w:space="0" w:color="auto"/>
          </w:divBdr>
        </w:div>
        <w:div w:id="198132547">
          <w:marLeft w:val="0"/>
          <w:marRight w:val="0"/>
          <w:marTop w:val="0"/>
          <w:marBottom w:val="0"/>
          <w:divBdr>
            <w:top w:val="none" w:sz="0" w:space="0" w:color="auto"/>
            <w:left w:val="none" w:sz="0" w:space="0" w:color="auto"/>
            <w:bottom w:val="none" w:sz="0" w:space="0" w:color="auto"/>
            <w:right w:val="none" w:sz="0" w:space="0" w:color="auto"/>
          </w:divBdr>
        </w:div>
        <w:div w:id="222303313">
          <w:marLeft w:val="0"/>
          <w:marRight w:val="0"/>
          <w:marTop w:val="0"/>
          <w:marBottom w:val="0"/>
          <w:divBdr>
            <w:top w:val="none" w:sz="0" w:space="0" w:color="auto"/>
            <w:left w:val="none" w:sz="0" w:space="0" w:color="auto"/>
            <w:bottom w:val="none" w:sz="0" w:space="0" w:color="auto"/>
            <w:right w:val="none" w:sz="0" w:space="0" w:color="auto"/>
          </w:divBdr>
        </w:div>
        <w:div w:id="237206463">
          <w:marLeft w:val="0"/>
          <w:marRight w:val="0"/>
          <w:marTop w:val="0"/>
          <w:marBottom w:val="0"/>
          <w:divBdr>
            <w:top w:val="none" w:sz="0" w:space="0" w:color="auto"/>
            <w:left w:val="none" w:sz="0" w:space="0" w:color="auto"/>
            <w:bottom w:val="none" w:sz="0" w:space="0" w:color="auto"/>
            <w:right w:val="none" w:sz="0" w:space="0" w:color="auto"/>
          </w:divBdr>
        </w:div>
        <w:div w:id="276956087">
          <w:marLeft w:val="0"/>
          <w:marRight w:val="0"/>
          <w:marTop w:val="0"/>
          <w:marBottom w:val="0"/>
          <w:divBdr>
            <w:top w:val="none" w:sz="0" w:space="0" w:color="auto"/>
            <w:left w:val="none" w:sz="0" w:space="0" w:color="auto"/>
            <w:bottom w:val="none" w:sz="0" w:space="0" w:color="auto"/>
            <w:right w:val="none" w:sz="0" w:space="0" w:color="auto"/>
          </w:divBdr>
        </w:div>
        <w:div w:id="364215981">
          <w:marLeft w:val="0"/>
          <w:marRight w:val="0"/>
          <w:marTop w:val="0"/>
          <w:marBottom w:val="0"/>
          <w:divBdr>
            <w:top w:val="none" w:sz="0" w:space="0" w:color="auto"/>
            <w:left w:val="none" w:sz="0" w:space="0" w:color="auto"/>
            <w:bottom w:val="none" w:sz="0" w:space="0" w:color="auto"/>
            <w:right w:val="none" w:sz="0" w:space="0" w:color="auto"/>
          </w:divBdr>
        </w:div>
        <w:div w:id="373234610">
          <w:marLeft w:val="0"/>
          <w:marRight w:val="0"/>
          <w:marTop w:val="0"/>
          <w:marBottom w:val="0"/>
          <w:divBdr>
            <w:top w:val="none" w:sz="0" w:space="0" w:color="auto"/>
            <w:left w:val="none" w:sz="0" w:space="0" w:color="auto"/>
            <w:bottom w:val="none" w:sz="0" w:space="0" w:color="auto"/>
            <w:right w:val="none" w:sz="0" w:space="0" w:color="auto"/>
          </w:divBdr>
        </w:div>
        <w:div w:id="467937247">
          <w:marLeft w:val="0"/>
          <w:marRight w:val="0"/>
          <w:marTop w:val="0"/>
          <w:marBottom w:val="0"/>
          <w:divBdr>
            <w:top w:val="none" w:sz="0" w:space="0" w:color="auto"/>
            <w:left w:val="none" w:sz="0" w:space="0" w:color="auto"/>
            <w:bottom w:val="none" w:sz="0" w:space="0" w:color="auto"/>
            <w:right w:val="none" w:sz="0" w:space="0" w:color="auto"/>
          </w:divBdr>
        </w:div>
        <w:div w:id="513571901">
          <w:marLeft w:val="0"/>
          <w:marRight w:val="0"/>
          <w:marTop w:val="0"/>
          <w:marBottom w:val="0"/>
          <w:divBdr>
            <w:top w:val="none" w:sz="0" w:space="0" w:color="auto"/>
            <w:left w:val="none" w:sz="0" w:space="0" w:color="auto"/>
            <w:bottom w:val="none" w:sz="0" w:space="0" w:color="auto"/>
            <w:right w:val="none" w:sz="0" w:space="0" w:color="auto"/>
          </w:divBdr>
        </w:div>
        <w:div w:id="542181274">
          <w:marLeft w:val="0"/>
          <w:marRight w:val="0"/>
          <w:marTop w:val="0"/>
          <w:marBottom w:val="0"/>
          <w:divBdr>
            <w:top w:val="none" w:sz="0" w:space="0" w:color="auto"/>
            <w:left w:val="none" w:sz="0" w:space="0" w:color="auto"/>
            <w:bottom w:val="none" w:sz="0" w:space="0" w:color="auto"/>
            <w:right w:val="none" w:sz="0" w:space="0" w:color="auto"/>
          </w:divBdr>
        </w:div>
        <w:div w:id="628362657">
          <w:marLeft w:val="0"/>
          <w:marRight w:val="0"/>
          <w:marTop w:val="0"/>
          <w:marBottom w:val="0"/>
          <w:divBdr>
            <w:top w:val="none" w:sz="0" w:space="0" w:color="auto"/>
            <w:left w:val="none" w:sz="0" w:space="0" w:color="auto"/>
            <w:bottom w:val="none" w:sz="0" w:space="0" w:color="auto"/>
            <w:right w:val="none" w:sz="0" w:space="0" w:color="auto"/>
          </w:divBdr>
        </w:div>
        <w:div w:id="775716846">
          <w:marLeft w:val="0"/>
          <w:marRight w:val="0"/>
          <w:marTop w:val="0"/>
          <w:marBottom w:val="0"/>
          <w:divBdr>
            <w:top w:val="none" w:sz="0" w:space="0" w:color="auto"/>
            <w:left w:val="none" w:sz="0" w:space="0" w:color="auto"/>
            <w:bottom w:val="none" w:sz="0" w:space="0" w:color="auto"/>
            <w:right w:val="none" w:sz="0" w:space="0" w:color="auto"/>
          </w:divBdr>
        </w:div>
        <w:div w:id="830294745">
          <w:marLeft w:val="0"/>
          <w:marRight w:val="0"/>
          <w:marTop w:val="0"/>
          <w:marBottom w:val="0"/>
          <w:divBdr>
            <w:top w:val="none" w:sz="0" w:space="0" w:color="auto"/>
            <w:left w:val="none" w:sz="0" w:space="0" w:color="auto"/>
            <w:bottom w:val="none" w:sz="0" w:space="0" w:color="auto"/>
            <w:right w:val="none" w:sz="0" w:space="0" w:color="auto"/>
          </w:divBdr>
        </w:div>
        <w:div w:id="833255110">
          <w:marLeft w:val="0"/>
          <w:marRight w:val="0"/>
          <w:marTop w:val="0"/>
          <w:marBottom w:val="0"/>
          <w:divBdr>
            <w:top w:val="none" w:sz="0" w:space="0" w:color="auto"/>
            <w:left w:val="none" w:sz="0" w:space="0" w:color="auto"/>
            <w:bottom w:val="none" w:sz="0" w:space="0" w:color="auto"/>
            <w:right w:val="none" w:sz="0" w:space="0" w:color="auto"/>
          </w:divBdr>
        </w:div>
        <w:div w:id="934049547">
          <w:marLeft w:val="0"/>
          <w:marRight w:val="0"/>
          <w:marTop w:val="0"/>
          <w:marBottom w:val="0"/>
          <w:divBdr>
            <w:top w:val="none" w:sz="0" w:space="0" w:color="auto"/>
            <w:left w:val="none" w:sz="0" w:space="0" w:color="auto"/>
            <w:bottom w:val="none" w:sz="0" w:space="0" w:color="auto"/>
            <w:right w:val="none" w:sz="0" w:space="0" w:color="auto"/>
          </w:divBdr>
        </w:div>
        <w:div w:id="1094277159">
          <w:marLeft w:val="0"/>
          <w:marRight w:val="0"/>
          <w:marTop w:val="0"/>
          <w:marBottom w:val="0"/>
          <w:divBdr>
            <w:top w:val="none" w:sz="0" w:space="0" w:color="auto"/>
            <w:left w:val="none" w:sz="0" w:space="0" w:color="auto"/>
            <w:bottom w:val="none" w:sz="0" w:space="0" w:color="auto"/>
            <w:right w:val="none" w:sz="0" w:space="0" w:color="auto"/>
          </w:divBdr>
        </w:div>
        <w:div w:id="1287659012">
          <w:marLeft w:val="0"/>
          <w:marRight w:val="0"/>
          <w:marTop w:val="0"/>
          <w:marBottom w:val="0"/>
          <w:divBdr>
            <w:top w:val="none" w:sz="0" w:space="0" w:color="auto"/>
            <w:left w:val="none" w:sz="0" w:space="0" w:color="auto"/>
            <w:bottom w:val="none" w:sz="0" w:space="0" w:color="auto"/>
            <w:right w:val="none" w:sz="0" w:space="0" w:color="auto"/>
          </w:divBdr>
        </w:div>
        <w:div w:id="1322586189">
          <w:marLeft w:val="0"/>
          <w:marRight w:val="0"/>
          <w:marTop w:val="0"/>
          <w:marBottom w:val="0"/>
          <w:divBdr>
            <w:top w:val="none" w:sz="0" w:space="0" w:color="auto"/>
            <w:left w:val="none" w:sz="0" w:space="0" w:color="auto"/>
            <w:bottom w:val="none" w:sz="0" w:space="0" w:color="auto"/>
            <w:right w:val="none" w:sz="0" w:space="0" w:color="auto"/>
          </w:divBdr>
        </w:div>
        <w:div w:id="1325472534">
          <w:marLeft w:val="0"/>
          <w:marRight w:val="0"/>
          <w:marTop w:val="0"/>
          <w:marBottom w:val="0"/>
          <w:divBdr>
            <w:top w:val="none" w:sz="0" w:space="0" w:color="auto"/>
            <w:left w:val="none" w:sz="0" w:space="0" w:color="auto"/>
            <w:bottom w:val="none" w:sz="0" w:space="0" w:color="auto"/>
            <w:right w:val="none" w:sz="0" w:space="0" w:color="auto"/>
          </w:divBdr>
        </w:div>
        <w:div w:id="1589851307">
          <w:marLeft w:val="0"/>
          <w:marRight w:val="0"/>
          <w:marTop w:val="0"/>
          <w:marBottom w:val="0"/>
          <w:divBdr>
            <w:top w:val="none" w:sz="0" w:space="0" w:color="auto"/>
            <w:left w:val="none" w:sz="0" w:space="0" w:color="auto"/>
            <w:bottom w:val="none" w:sz="0" w:space="0" w:color="auto"/>
            <w:right w:val="none" w:sz="0" w:space="0" w:color="auto"/>
          </w:divBdr>
        </w:div>
        <w:div w:id="1610116631">
          <w:marLeft w:val="0"/>
          <w:marRight w:val="0"/>
          <w:marTop w:val="0"/>
          <w:marBottom w:val="0"/>
          <w:divBdr>
            <w:top w:val="none" w:sz="0" w:space="0" w:color="auto"/>
            <w:left w:val="none" w:sz="0" w:space="0" w:color="auto"/>
            <w:bottom w:val="none" w:sz="0" w:space="0" w:color="auto"/>
            <w:right w:val="none" w:sz="0" w:space="0" w:color="auto"/>
          </w:divBdr>
        </w:div>
        <w:div w:id="1662734821">
          <w:marLeft w:val="0"/>
          <w:marRight w:val="0"/>
          <w:marTop w:val="0"/>
          <w:marBottom w:val="0"/>
          <w:divBdr>
            <w:top w:val="none" w:sz="0" w:space="0" w:color="auto"/>
            <w:left w:val="none" w:sz="0" w:space="0" w:color="auto"/>
            <w:bottom w:val="none" w:sz="0" w:space="0" w:color="auto"/>
            <w:right w:val="none" w:sz="0" w:space="0" w:color="auto"/>
          </w:divBdr>
        </w:div>
        <w:div w:id="1686667250">
          <w:marLeft w:val="0"/>
          <w:marRight w:val="0"/>
          <w:marTop w:val="0"/>
          <w:marBottom w:val="0"/>
          <w:divBdr>
            <w:top w:val="none" w:sz="0" w:space="0" w:color="auto"/>
            <w:left w:val="none" w:sz="0" w:space="0" w:color="auto"/>
            <w:bottom w:val="none" w:sz="0" w:space="0" w:color="auto"/>
            <w:right w:val="none" w:sz="0" w:space="0" w:color="auto"/>
          </w:divBdr>
        </w:div>
        <w:div w:id="1752462214">
          <w:marLeft w:val="0"/>
          <w:marRight w:val="0"/>
          <w:marTop w:val="0"/>
          <w:marBottom w:val="0"/>
          <w:divBdr>
            <w:top w:val="none" w:sz="0" w:space="0" w:color="auto"/>
            <w:left w:val="none" w:sz="0" w:space="0" w:color="auto"/>
            <w:bottom w:val="none" w:sz="0" w:space="0" w:color="auto"/>
            <w:right w:val="none" w:sz="0" w:space="0" w:color="auto"/>
          </w:divBdr>
        </w:div>
        <w:div w:id="1886601045">
          <w:marLeft w:val="0"/>
          <w:marRight w:val="0"/>
          <w:marTop w:val="0"/>
          <w:marBottom w:val="0"/>
          <w:divBdr>
            <w:top w:val="none" w:sz="0" w:space="0" w:color="auto"/>
            <w:left w:val="none" w:sz="0" w:space="0" w:color="auto"/>
            <w:bottom w:val="none" w:sz="0" w:space="0" w:color="auto"/>
            <w:right w:val="none" w:sz="0" w:space="0" w:color="auto"/>
          </w:divBdr>
        </w:div>
        <w:div w:id="2002926176">
          <w:marLeft w:val="0"/>
          <w:marRight w:val="0"/>
          <w:marTop w:val="0"/>
          <w:marBottom w:val="0"/>
          <w:divBdr>
            <w:top w:val="none" w:sz="0" w:space="0" w:color="auto"/>
            <w:left w:val="none" w:sz="0" w:space="0" w:color="auto"/>
            <w:bottom w:val="none" w:sz="0" w:space="0" w:color="auto"/>
            <w:right w:val="none" w:sz="0" w:space="0" w:color="auto"/>
          </w:divBdr>
        </w:div>
        <w:div w:id="2005861257">
          <w:marLeft w:val="0"/>
          <w:marRight w:val="0"/>
          <w:marTop w:val="0"/>
          <w:marBottom w:val="0"/>
          <w:divBdr>
            <w:top w:val="none" w:sz="0" w:space="0" w:color="auto"/>
            <w:left w:val="none" w:sz="0" w:space="0" w:color="auto"/>
            <w:bottom w:val="none" w:sz="0" w:space="0" w:color="auto"/>
            <w:right w:val="none" w:sz="0" w:space="0" w:color="auto"/>
          </w:divBdr>
        </w:div>
        <w:div w:id="2018651792">
          <w:marLeft w:val="0"/>
          <w:marRight w:val="0"/>
          <w:marTop w:val="0"/>
          <w:marBottom w:val="0"/>
          <w:divBdr>
            <w:top w:val="none" w:sz="0" w:space="0" w:color="auto"/>
            <w:left w:val="none" w:sz="0" w:space="0" w:color="auto"/>
            <w:bottom w:val="none" w:sz="0" w:space="0" w:color="auto"/>
            <w:right w:val="none" w:sz="0" w:space="0" w:color="auto"/>
          </w:divBdr>
        </w:div>
        <w:div w:id="214187671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4</Pages>
  <Words>2541</Words>
  <Characters>13723</Characters>
  <Application>Microsoft Office Word</Application>
  <DocSecurity>0</DocSecurity>
  <Lines>114</Lines>
  <Paragraphs>32</Paragraphs>
  <ScaleCrop>false</ScaleCrop>
  <HeadingPairs>
    <vt:vector size="2" baseType="variant">
      <vt:variant>
        <vt:lpstr>Título</vt:lpstr>
      </vt:variant>
      <vt:variant>
        <vt:i4>1</vt:i4>
      </vt:variant>
    </vt:vector>
  </HeadingPairs>
  <TitlesOfParts>
    <vt:vector size="1" baseType="lpstr">
      <vt:lpstr>1</vt:lpstr>
    </vt:vector>
  </TitlesOfParts>
  <Company>TCU</Company>
  <LinksUpToDate>false</LinksUpToDate>
  <CharactersWithSpaces>16232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dc:title>
  <dc:creator>TCU</dc:creator>
  <cp:lastModifiedBy>P.A.</cp:lastModifiedBy>
  <cp:revision>2</cp:revision>
  <cp:lastPrinted>2013-11-04T19:30:00Z</cp:lastPrinted>
  <dcterms:created xsi:type="dcterms:W3CDTF">2014-12-03T20:21:00Z</dcterms:created>
  <dcterms:modified xsi:type="dcterms:W3CDTF">2014-12-03T20:21:00Z</dcterms:modified>
</cp:coreProperties>
</file>