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bookmarkStart w:id="0" w:name="_GoBack"/>
      <w:bookmarkEnd w:id="0"/>
      <w:r>
        <w:rPr>
          <w:rFonts w:ascii="Arial" w:hAnsi="Arial"/>
          <w:b/>
          <w:sz w:val="24"/>
        </w:rPr>
        <w:t xml:space="preserve">PREGÃO ELETRÔNICO </w:t>
      </w:r>
      <w:r w:rsidRPr="00006039">
        <w:rPr>
          <w:rFonts w:ascii="Arial" w:hAnsi="Arial"/>
          <w:b/>
          <w:sz w:val="24"/>
        </w:rPr>
        <w:t>N. 90072/2025</w:t>
      </w:r>
    </w:p>
    <w:p w:rsidR="00CB10E5" w:rsidRPr="00CE095D"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CE095D">
        <w:rPr>
          <w:rFonts w:ascii="Arial" w:hAnsi="Arial" w:cs="Arial"/>
          <w:sz w:val="24"/>
        </w:rPr>
        <w:t xml:space="preserve">OBJETO: </w:t>
      </w:r>
      <w:r w:rsidRPr="0025491A">
        <w:rPr>
          <w:rFonts w:ascii="Arial" w:hAnsi="Arial"/>
          <w:sz w:val="24"/>
        </w:rPr>
        <w:t>Aquisição de solução de rede corporativa de armazenamento de dados</w:t>
      </w:r>
      <w:r w:rsidRPr="00C50B3B">
        <w:rPr>
          <w:rFonts w:ascii="Arial" w:hAnsi="Arial" w:cs="Arial"/>
          <w:sz w:val="24"/>
          <w:szCs w:val="24"/>
        </w:rPr>
        <w:t>,</w:t>
      </w:r>
      <w:r w:rsidRPr="0025491A">
        <w:rPr>
          <w:rFonts w:ascii="Arial" w:hAnsi="Arial"/>
          <w:sz w:val="24"/>
        </w:rPr>
        <w:t xml:space="preserve"> composta </w:t>
      </w:r>
      <w:r w:rsidRPr="00C50B3B">
        <w:rPr>
          <w:rFonts w:ascii="Arial" w:hAnsi="Arial" w:cs="Arial"/>
          <w:sz w:val="24"/>
          <w:szCs w:val="24"/>
        </w:rPr>
        <w:t>por</w:t>
      </w:r>
      <w:r w:rsidRPr="0025491A">
        <w:rPr>
          <w:rFonts w:ascii="Arial" w:hAnsi="Arial"/>
          <w:sz w:val="24"/>
        </w:rPr>
        <w:t xml:space="preserve"> conjunto de switches </w:t>
      </w:r>
      <w:r w:rsidRPr="003C1B7F">
        <w:rPr>
          <w:rFonts w:ascii="Arial" w:hAnsi="Arial" w:cs="Arial"/>
          <w:i/>
          <w:sz w:val="24"/>
          <w:szCs w:val="24"/>
        </w:rPr>
        <w:t>Fibre Channel</w:t>
      </w:r>
      <w:r w:rsidRPr="00ED54AD">
        <w:rPr>
          <w:rFonts w:ascii="Arial" w:hAnsi="Arial" w:cs="Arial"/>
          <w:i/>
          <w:sz w:val="24"/>
          <w:szCs w:val="24"/>
        </w:rPr>
        <w:t xml:space="preserve"> </w:t>
      </w:r>
      <w:r w:rsidRPr="0049791F">
        <w:rPr>
          <w:rFonts w:ascii="Arial" w:hAnsi="Arial" w:cs="Arial"/>
          <w:i/>
          <w:sz w:val="24"/>
          <w:szCs w:val="24"/>
        </w:rPr>
        <w:t>(</w:t>
      </w:r>
      <w:r w:rsidRPr="0025491A">
        <w:rPr>
          <w:rFonts w:ascii="Arial" w:hAnsi="Arial"/>
          <w:i/>
          <w:sz w:val="24"/>
        </w:rPr>
        <w:t>FC</w:t>
      </w:r>
      <w:r w:rsidRPr="0049791F">
        <w:rPr>
          <w:rFonts w:ascii="Arial" w:hAnsi="Arial" w:cs="Arial"/>
          <w:i/>
          <w:sz w:val="24"/>
          <w:szCs w:val="24"/>
        </w:rPr>
        <w:t>)</w:t>
      </w:r>
      <w:r w:rsidRPr="0025491A">
        <w:rPr>
          <w:rFonts w:ascii="Arial" w:hAnsi="Arial"/>
          <w:i/>
          <w:sz w:val="24"/>
        </w:rPr>
        <w:t xml:space="preserve"> </w:t>
      </w:r>
      <w:r w:rsidRPr="0025491A">
        <w:rPr>
          <w:rFonts w:ascii="Arial" w:hAnsi="Arial"/>
          <w:sz w:val="24"/>
        </w:rPr>
        <w:t>do tipo “</w:t>
      </w:r>
      <w:r w:rsidRPr="0025491A">
        <w:rPr>
          <w:rFonts w:ascii="Arial" w:hAnsi="Arial"/>
          <w:i/>
          <w:sz w:val="24"/>
        </w:rPr>
        <w:t xml:space="preserve">director” </w:t>
      </w:r>
      <w:r w:rsidRPr="0025491A">
        <w:rPr>
          <w:rFonts w:ascii="Arial" w:hAnsi="Arial"/>
          <w:sz w:val="24"/>
        </w:rPr>
        <w:t>e software de gerenciamento, incluindo</w:t>
      </w:r>
      <w:r w:rsidRPr="00C50B3B">
        <w:rPr>
          <w:rFonts w:ascii="Arial" w:hAnsi="Arial" w:cs="Arial"/>
          <w:sz w:val="24"/>
          <w:szCs w:val="24"/>
        </w:rPr>
        <w:t xml:space="preserve"> os serviços de</w:t>
      </w:r>
      <w:r w:rsidRPr="0025491A">
        <w:rPr>
          <w:rFonts w:ascii="Arial" w:hAnsi="Arial"/>
          <w:sz w:val="24"/>
        </w:rPr>
        <w:t xml:space="preserve"> instalação, configuração, migração e ativação da solução, capacitação operacional e garantia de funcionamento pelo prazo de 60 (sessenta) meses</w:t>
      </w:r>
      <w:r>
        <w:rPr>
          <w:rFonts w:ascii="Arial" w:hAnsi="Arial" w:cs="Arial"/>
          <w:sz w:val="24"/>
          <w:szCs w:val="24"/>
        </w:rPr>
        <w:t>.</w:t>
      </w:r>
    </w:p>
    <w:p w:rsidR="00CB10E5" w:rsidRDefault="00CB10E5" w:rsidP="00CB10E5">
      <w:pPr>
        <w:spacing w:before="120" w:after="120"/>
        <w:jc w:val="both"/>
        <w:rPr>
          <w:rFonts w:ascii="Arial" w:hAnsi="Arial"/>
          <w:sz w:val="24"/>
        </w:rPr>
      </w:pPr>
      <w:r>
        <w:rPr>
          <w:rFonts w:ascii="Arial" w:hAnsi="Arial"/>
          <w:sz w:val="24"/>
        </w:rPr>
        <w:t>EMPRESA: _____________________________________________________</w:t>
      </w:r>
    </w:p>
    <w:p w:rsidR="00CB10E5" w:rsidRDefault="00CB10E5" w:rsidP="00CB10E5">
      <w:pPr>
        <w:spacing w:before="120" w:after="120"/>
        <w:jc w:val="both"/>
        <w:rPr>
          <w:rFonts w:ascii="Arial" w:hAnsi="Arial"/>
          <w:sz w:val="24"/>
        </w:rPr>
      </w:pPr>
      <w:r>
        <w:rPr>
          <w:rFonts w:ascii="Arial" w:hAnsi="Arial"/>
          <w:sz w:val="24"/>
        </w:rPr>
        <w:t>CNPJ: _________________________________________________________</w:t>
      </w:r>
    </w:p>
    <w:p w:rsidR="00CB10E5" w:rsidRDefault="00CB10E5" w:rsidP="00CB10E5">
      <w:pPr>
        <w:spacing w:before="120" w:after="120"/>
        <w:jc w:val="both"/>
        <w:rPr>
          <w:rFonts w:ascii="Arial" w:hAnsi="Arial"/>
          <w:sz w:val="24"/>
        </w:rPr>
      </w:pPr>
      <w:r>
        <w:rPr>
          <w:rFonts w:ascii="Arial" w:hAnsi="Arial"/>
          <w:sz w:val="24"/>
        </w:rPr>
        <w:t>ENDEREÇO: ____________________________________________________</w:t>
      </w:r>
    </w:p>
    <w:p w:rsidR="00CB10E5" w:rsidRDefault="00CB10E5" w:rsidP="00CB10E5">
      <w:pPr>
        <w:pStyle w:val="Cabealho"/>
        <w:tabs>
          <w:tab w:val="clear" w:pos="4419"/>
          <w:tab w:val="clear" w:pos="8838"/>
        </w:tabs>
        <w:spacing w:before="120" w:after="120"/>
        <w:rPr>
          <w:rFonts w:ascii="Arial" w:hAnsi="Arial"/>
          <w:sz w:val="24"/>
        </w:rPr>
      </w:pPr>
      <w:r>
        <w:rPr>
          <w:rFonts w:ascii="Arial" w:hAnsi="Arial"/>
          <w:sz w:val="24"/>
        </w:rPr>
        <w:t>TELEFONE: _____________________________________________________</w:t>
      </w:r>
    </w:p>
    <w:p w:rsidR="00CB10E5" w:rsidRDefault="00CB10E5" w:rsidP="00CB10E5">
      <w:pPr>
        <w:pStyle w:val="Cabealho"/>
        <w:tabs>
          <w:tab w:val="clear" w:pos="4419"/>
          <w:tab w:val="clear" w:pos="8838"/>
        </w:tabs>
        <w:spacing w:before="120" w:after="120"/>
        <w:rPr>
          <w:rFonts w:ascii="Arial" w:hAnsi="Arial"/>
          <w:b/>
          <w:sz w:val="24"/>
        </w:rPr>
      </w:pPr>
      <w:r>
        <w:rPr>
          <w:rFonts w:ascii="Arial" w:hAnsi="Arial"/>
          <w:sz w:val="24"/>
        </w:rPr>
        <w:t>E-MAIL: ________________________________________________________</w:t>
      </w:r>
    </w:p>
    <w:p w:rsidR="00CB10E5" w:rsidRDefault="00CB10E5" w:rsidP="00CB10E5">
      <w:pPr>
        <w:spacing w:before="120" w:after="120"/>
        <w:jc w:val="both"/>
        <w:rPr>
          <w:rFonts w:ascii="Arial" w:hAnsi="Arial"/>
          <w:sz w:val="24"/>
        </w:rPr>
      </w:pPr>
    </w:p>
    <w:p w:rsidR="00CB10E5" w:rsidRDefault="00CB10E5" w:rsidP="00CB10E5">
      <w:pPr>
        <w:spacing w:before="120" w:after="120"/>
        <w:jc w:val="both"/>
        <w:rPr>
          <w:rFonts w:ascii="Arial" w:hAnsi="Arial"/>
          <w:sz w:val="24"/>
        </w:rPr>
      </w:pPr>
      <w:r>
        <w:rPr>
          <w:rFonts w:ascii="Arial" w:hAnsi="Arial"/>
          <w:sz w:val="24"/>
        </w:rPr>
        <w:t>À</w:t>
      </w:r>
    </w:p>
    <w:p w:rsidR="00CB10E5" w:rsidRDefault="00CB10E5" w:rsidP="00CB10E5">
      <w:pPr>
        <w:spacing w:before="120" w:after="120"/>
        <w:jc w:val="both"/>
        <w:rPr>
          <w:rFonts w:ascii="Arial" w:hAnsi="Arial"/>
          <w:sz w:val="24"/>
        </w:rPr>
      </w:pPr>
      <w:r>
        <w:rPr>
          <w:rFonts w:ascii="Arial" w:hAnsi="Arial"/>
          <w:sz w:val="24"/>
        </w:rPr>
        <w:t>CÂMARA DOS DEPUTADOS</w:t>
      </w:r>
    </w:p>
    <w:p w:rsidR="00CB10E5" w:rsidRDefault="00CB10E5" w:rsidP="00CB10E5">
      <w:pPr>
        <w:pStyle w:val="WW-Corpodetexto2"/>
        <w:spacing w:before="120" w:after="120"/>
        <w:rPr>
          <w:rFonts w:ascii="Arial" w:hAnsi="Arial"/>
        </w:rPr>
      </w:pPr>
      <w:r>
        <w:rPr>
          <w:rFonts w:ascii="Arial" w:hAnsi="Arial"/>
        </w:rPr>
        <w:t>Em atendimento ao Edital do Pregão em epígrafe, apresentamos a seguinte proposta de preços:</w:t>
      </w:r>
    </w:p>
    <w:p w:rsidR="00CB10E5" w:rsidRDefault="00CB10E5" w:rsidP="00CB10E5">
      <w:pPr>
        <w:pStyle w:val="WW-Texto"/>
        <w:autoSpaceDE w:val="0"/>
        <w:spacing w:line="100" w:lineRule="atLeast"/>
        <w:ind w:firstLine="0"/>
        <w:jc w:val="left"/>
      </w:pPr>
    </w:p>
    <w:p w:rsidR="00CB10E5" w:rsidRDefault="00CB10E5" w:rsidP="00CB10E5">
      <w:pPr>
        <w:snapToGrid w:val="0"/>
        <w:jc w:val="center"/>
        <w:rPr>
          <w:rFonts w:ascii="Arial" w:hAnsi="Arial" w:cs="Arial"/>
          <w:b/>
        </w:rPr>
        <w:sectPr w:rsidR="00CB10E5" w:rsidSect="00CE06E7">
          <w:pgSz w:w="16840" w:h="11907" w:orient="landscape" w:code="9"/>
          <w:pgMar w:top="1701" w:right="1701" w:bottom="1134" w:left="1134" w:header="720" w:footer="720" w:gutter="0"/>
          <w:cols w:space="720"/>
          <w:docGrid w:linePitch="272"/>
        </w:sectPr>
      </w:pPr>
    </w:p>
    <w:tbl>
      <w:tblPr>
        <w:tblW w:w="14029" w:type="dxa"/>
        <w:jc w:val="center"/>
        <w:tblLayout w:type="fixed"/>
        <w:tblCellMar>
          <w:top w:w="57" w:type="dxa"/>
          <w:left w:w="57" w:type="dxa"/>
          <w:bottom w:w="57" w:type="dxa"/>
          <w:right w:w="57" w:type="dxa"/>
        </w:tblCellMar>
        <w:tblLook w:val="04A0" w:firstRow="1" w:lastRow="0" w:firstColumn="1" w:lastColumn="0" w:noHBand="0" w:noVBand="1"/>
      </w:tblPr>
      <w:tblGrid>
        <w:gridCol w:w="1553"/>
        <w:gridCol w:w="4112"/>
        <w:gridCol w:w="993"/>
        <w:gridCol w:w="1134"/>
        <w:gridCol w:w="708"/>
        <w:gridCol w:w="993"/>
        <w:gridCol w:w="1134"/>
        <w:gridCol w:w="1134"/>
        <w:gridCol w:w="1134"/>
        <w:gridCol w:w="1134"/>
      </w:tblGrid>
      <w:tr w:rsidR="00CB10E5" w:rsidRPr="006E3B14" w:rsidTr="00F76EA7">
        <w:trPr>
          <w:trHeight w:val="163"/>
          <w:tblHeader/>
          <w:jc w:val="center"/>
        </w:trPr>
        <w:tc>
          <w:tcPr>
            <w:tcW w:w="14029" w:type="dxa"/>
            <w:gridSpan w:val="10"/>
            <w:tcBorders>
              <w:top w:val="single" w:sz="4" w:space="0" w:color="auto"/>
              <w:left w:val="single" w:sz="4" w:space="0" w:color="auto"/>
              <w:right w:val="single" w:sz="4" w:space="0" w:color="auto"/>
            </w:tcBorders>
            <w:shd w:val="clear" w:color="auto" w:fill="A6A6A6" w:themeFill="background1" w:themeFillShade="A6"/>
          </w:tcPr>
          <w:p w:rsidR="00CB10E5" w:rsidRPr="00CE06E7" w:rsidRDefault="00CB10E5" w:rsidP="00F76EA7">
            <w:pPr>
              <w:autoSpaceDE w:val="0"/>
              <w:autoSpaceDN w:val="0"/>
              <w:jc w:val="center"/>
              <w:rPr>
                <w:rFonts w:ascii="Arial" w:hAnsi="Arial" w:cs="Arial"/>
                <w:b/>
                <w:sz w:val="24"/>
                <w:szCs w:val="24"/>
              </w:rPr>
            </w:pPr>
            <w:r w:rsidRPr="00CE06E7">
              <w:rPr>
                <w:rFonts w:ascii="Arial" w:hAnsi="Arial" w:cs="Arial"/>
                <w:b/>
                <w:sz w:val="24"/>
                <w:szCs w:val="24"/>
              </w:rPr>
              <w:lastRenderedPageBreak/>
              <w:t>Tabela 1</w:t>
            </w:r>
          </w:p>
        </w:tc>
      </w:tr>
      <w:tr w:rsidR="00CB10E5" w:rsidRPr="006E3B14" w:rsidTr="00F76EA7">
        <w:trPr>
          <w:trHeight w:val="964"/>
          <w:tblHeader/>
          <w:jc w:val="center"/>
        </w:trPr>
        <w:tc>
          <w:tcPr>
            <w:tcW w:w="155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CB10E5" w:rsidRPr="00CE06E7" w:rsidRDefault="00CB10E5" w:rsidP="00F76EA7">
            <w:pPr>
              <w:snapToGrid w:val="0"/>
              <w:jc w:val="center"/>
              <w:rPr>
                <w:rFonts w:ascii="Arial" w:hAnsi="Arial" w:cs="Arial"/>
                <w:b/>
              </w:rPr>
            </w:pPr>
            <w:r w:rsidRPr="00CE06E7">
              <w:rPr>
                <w:rFonts w:ascii="Arial" w:hAnsi="Arial" w:cs="Arial"/>
                <w:b/>
              </w:rPr>
              <w:t>GRUPO/</w:t>
            </w:r>
          </w:p>
          <w:p w:rsidR="00CB10E5" w:rsidRPr="00CE06E7" w:rsidRDefault="00CB10E5" w:rsidP="00F76EA7">
            <w:pPr>
              <w:autoSpaceDE w:val="0"/>
              <w:autoSpaceDN w:val="0"/>
              <w:jc w:val="center"/>
              <w:rPr>
                <w:rFonts w:ascii="Arial" w:hAnsi="Arial" w:cs="Arial"/>
                <w:b/>
              </w:rPr>
            </w:pPr>
            <w:r w:rsidRPr="00CE06E7">
              <w:rPr>
                <w:rFonts w:ascii="Arial" w:hAnsi="Arial" w:cs="Arial"/>
                <w:b/>
              </w:rPr>
              <w:t>ITEM</w:t>
            </w:r>
          </w:p>
          <w:p w:rsidR="00CB10E5" w:rsidRPr="00CE06E7" w:rsidRDefault="00CB10E5" w:rsidP="00F76EA7">
            <w:pPr>
              <w:autoSpaceDE w:val="0"/>
              <w:autoSpaceDN w:val="0"/>
              <w:jc w:val="center"/>
              <w:rPr>
                <w:rFonts w:ascii="Arial" w:hAnsi="Arial" w:cs="Arial"/>
                <w:b/>
              </w:rPr>
            </w:pPr>
          </w:p>
        </w:tc>
        <w:tc>
          <w:tcPr>
            <w:tcW w:w="4112"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r w:rsidRPr="00CE06E7">
              <w:rPr>
                <w:rFonts w:ascii="Arial" w:hAnsi="Arial" w:cs="Arial"/>
                <w:b/>
              </w:rPr>
              <w:t>DESCRIÇÃO</w:t>
            </w:r>
          </w:p>
        </w:tc>
        <w:tc>
          <w:tcPr>
            <w:tcW w:w="993"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rsidR="00CB10E5" w:rsidRPr="00952725" w:rsidRDefault="00CB10E5" w:rsidP="00F76EA7">
            <w:pPr>
              <w:autoSpaceDE w:val="0"/>
              <w:autoSpaceDN w:val="0"/>
              <w:jc w:val="center"/>
              <w:rPr>
                <w:rFonts w:ascii="Arial" w:hAnsi="Arial" w:cs="Arial"/>
                <w:b/>
              </w:rPr>
            </w:pPr>
            <w:r w:rsidRPr="00952725">
              <w:rPr>
                <w:rFonts w:ascii="Arial" w:hAnsi="Arial" w:cs="Arial"/>
                <w:b/>
              </w:rPr>
              <w:t>MARCA</w:t>
            </w:r>
          </w:p>
        </w:tc>
        <w:tc>
          <w:tcPr>
            <w:tcW w:w="1134"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rsidR="00CB10E5" w:rsidRPr="00952725" w:rsidRDefault="00CB10E5" w:rsidP="00F76EA7">
            <w:pPr>
              <w:autoSpaceDE w:val="0"/>
              <w:autoSpaceDN w:val="0"/>
              <w:jc w:val="center"/>
              <w:rPr>
                <w:rFonts w:ascii="Arial" w:hAnsi="Arial" w:cs="Arial"/>
                <w:b/>
              </w:rPr>
            </w:pPr>
            <w:r w:rsidRPr="00952725">
              <w:rPr>
                <w:rFonts w:ascii="Arial" w:hAnsi="Arial" w:cs="Arial"/>
                <w:b/>
              </w:rPr>
              <w:t>MODELO/VERSÃO</w:t>
            </w:r>
          </w:p>
        </w:tc>
        <w:tc>
          <w:tcPr>
            <w:tcW w:w="708"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r w:rsidRPr="00CE06E7">
              <w:rPr>
                <w:rFonts w:ascii="Arial" w:hAnsi="Arial" w:cs="Arial"/>
                <w:b/>
              </w:rPr>
              <w:t>UN.</w:t>
            </w:r>
          </w:p>
          <w:p w:rsidR="00CB10E5" w:rsidRPr="00CE06E7" w:rsidRDefault="00CB10E5" w:rsidP="00F76EA7">
            <w:pPr>
              <w:autoSpaceDE w:val="0"/>
              <w:autoSpaceDN w:val="0"/>
              <w:jc w:val="center"/>
              <w:rPr>
                <w:rFonts w:ascii="Arial" w:hAnsi="Arial" w:cs="Arial"/>
                <w:b/>
              </w:rPr>
            </w:pPr>
            <w:r w:rsidRPr="00CE06E7">
              <w:rPr>
                <w:rFonts w:ascii="Arial" w:hAnsi="Arial" w:cs="Arial"/>
                <w:b/>
              </w:rPr>
              <w:t>(A)</w:t>
            </w:r>
          </w:p>
        </w:tc>
        <w:tc>
          <w:tcPr>
            <w:tcW w:w="993"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r w:rsidRPr="00CE06E7">
              <w:rPr>
                <w:rFonts w:ascii="Arial" w:hAnsi="Arial" w:cs="Arial"/>
                <w:b/>
              </w:rPr>
              <w:t>QUANT.</w:t>
            </w:r>
          </w:p>
          <w:p w:rsidR="00CB10E5" w:rsidRPr="00CE06E7" w:rsidRDefault="00CB10E5" w:rsidP="00F76EA7">
            <w:pPr>
              <w:autoSpaceDE w:val="0"/>
              <w:autoSpaceDN w:val="0"/>
              <w:jc w:val="center"/>
              <w:rPr>
                <w:rFonts w:ascii="Arial" w:hAnsi="Arial" w:cs="Arial"/>
                <w:b/>
              </w:rPr>
            </w:pPr>
            <w:r w:rsidRPr="00CE06E7">
              <w:rPr>
                <w:rFonts w:ascii="Arial" w:hAnsi="Arial" w:cs="Arial"/>
                <w:b/>
              </w:rPr>
              <w:t>(B)</w:t>
            </w:r>
          </w:p>
        </w:tc>
        <w:tc>
          <w:tcPr>
            <w:tcW w:w="1134"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r w:rsidRPr="00CE06E7">
              <w:rPr>
                <w:rFonts w:ascii="Arial" w:hAnsi="Arial" w:cs="Arial"/>
                <w:b/>
              </w:rPr>
              <w:t>PREÇO</w:t>
            </w:r>
          </w:p>
          <w:p w:rsidR="00CB10E5" w:rsidRPr="00CE06E7" w:rsidRDefault="00CB10E5" w:rsidP="00F76EA7">
            <w:pPr>
              <w:autoSpaceDE w:val="0"/>
              <w:autoSpaceDN w:val="0"/>
              <w:jc w:val="center"/>
              <w:rPr>
                <w:rFonts w:ascii="Arial" w:hAnsi="Arial" w:cs="Arial"/>
                <w:b/>
              </w:rPr>
            </w:pPr>
            <w:r w:rsidRPr="00CE06E7">
              <w:rPr>
                <w:rFonts w:ascii="Arial" w:hAnsi="Arial" w:cs="Arial"/>
                <w:b/>
              </w:rPr>
              <w:t>UNITÁRIO</w:t>
            </w:r>
          </w:p>
          <w:p w:rsidR="00CB10E5" w:rsidRPr="00CE06E7" w:rsidRDefault="00CB10E5" w:rsidP="00F76EA7">
            <w:pPr>
              <w:autoSpaceDE w:val="0"/>
              <w:autoSpaceDN w:val="0"/>
              <w:jc w:val="center"/>
              <w:rPr>
                <w:rFonts w:ascii="Arial" w:hAnsi="Arial" w:cs="Arial"/>
                <w:b/>
              </w:rPr>
            </w:pPr>
            <w:r w:rsidRPr="00CE06E7">
              <w:rPr>
                <w:rFonts w:ascii="Arial" w:hAnsi="Arial" w:cs="Arial"/>
                <w:b/>
              </w:rPr>
              <w:t>R$</w:t>
            </w:r>
          </w:p>
          <w:p w:rsidR="00CB10E5" w:rsidRDefault="00CB10E5" w:rsidP="00F76EA7">
            <w:pPr>
              <w:autoSpaceDE w:val="0"/>
              <w:autoSpaceDN w:val="0"/>
              <w:jc w:val="center"/>
              <w:rPr>
                <w:rFonts w:ascii="Arial" w:hAnsi="Arial" w:cs="Arial"/>
                <w:b/>
              </w:rPr>
            </w:pPr>
            <w:r w:rsidRPr="00CE06E7">
              <w:rPr>
                <w:rFonts w:ascii="Arial" w:hAnsi="Arial" w:cs="Arial"/>
                <w:b/>
              </w:rPr>
              <w:t>(C)</w:t>
            </w:r>
          </w:p>
          <w:p w:rsidR="00CB10E5" w:rsidRPr="00CE06E7" w:rsidRDefault="00CB10E5" w:rsidP="00F76EA7">
            <w:pPr>
              <w:autoSpaceDE w:val="0"/>
              <w:autoSpaceDN w:val="0"/>
              <w:jc w:val="center"/>
              <w:rPr>
                <w:rFonts w:ascii="Arial" w:hAnsi="Arial" w:cs="Arial"/>
                <w:b/>
              </w:rPr>
            </w:pPr>
            <w:r w:rsidRPr="0046229A">
              <w:rPr>
                <w:rFonts w:ascii="Arial" w:hAnsi="Arial" w:cs="Arial"/>
                <w:b/>
                <w:i/>
                <w:vertAlign w:val="superscript"/>
              </w:rPr>
              <w:t>(1)</w:t>
            </w:r>
          </w:p>
        </w:tc>
        <w:tc>
          <w:tcPr>
            <w:tcW w:w="1134"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r w:rsidRPr="00CE06E7">
              <w:rPr>
                <w:rFonts w:ascii="Arial" w:hAnsi="Arial" w:cs="Arial"/>
                <w:b/>
              </w:rPr>
              <w:t>PREÇO</w:t>
            </w:r>
          </w:p>
          <w:p w:rsidR="00CB10E5" w:rsidRDefault="00CB10E5" w:rsidP="00F76EA7">
            <w:pPr>
              <w:autoSpaceDE w:val="0"/>
              <w:autoSpaceDN w:val="0"/>
              <w:jc w:val="center"/>
              <w:rPr>
                <w:rFonts w:ascii="Arial" w:hAnsi="Arial" w:cs="Arial"/>
                <w:b/>
              </w:rPr>
            </w:pPr>
            <w:r w:rsidRPr="00CE06E7">
              <w:rPr>
                <w:rFonts w:ascii="Arial" w:hAnsi="Arial" w:cs="Arial"/>
                <w:b/>
              </w:rPr>
              <w:t>TOTAL</w:t>
            </w:r>
          </w:p>
          <w:p w:rsidR="00CB10E5" w:rsidRPr="00CE06E7" w:rsidRDefault="00CB10E5" w:rsidP="00F76EA7">
            <w:pPr>
              <w:autoSpaceDE w:val="0"/>
              <w:autoSpaceDN w:val="0"/>
              <w:jc w:val="center"/>
              <w:rPr>
                <w:rFonts w:ascii="Arial" w:hAnsi="Arial" w:cs="Arial"/>
                <w:b/>
              </w:rPr>
            </w:pPr>
            <w:r w:rsidRPr="00CE06E7">
              <w:rPr>
                <w:rFonts w:ascii="Arial" w:hAnsi="Arial" w:cs="Arial"/>
                <w:b/>
              </w:rPr>
              <w:t>R$</w:t>
            </w:r>
          </w:p>
          <w:p w:rsidR="00CB10E5" w:rsidRDefault="00CB10E5" w:rsidP="00F76EA7">
            <w:pPr>
              <w:autoSpaceDE w:val="0"/>
              <w:autoSpaceDN w:val="0"/>
              <w:jc w:val="center"/>
              <w:rPr>
                <w:rFonts w:ascii="Arial" w:hAnsi="Arial" w:cs="Arial"/>
                <w:b/>
              </w:rPr>
            </w:pPr>
            <w:r w:rsidRPr="00CE06E7">
              <w:rPr>
                <w:rFonts w:ascii="Arial" w:hAnsi="Arial" w:cs="Arial"/>
                <w:b/>
              </w:rPr>
              <w:t>(D)</w:t>
            </w:r>
            <w:r>
              <w:rPr>
                <w:rFonts w:ascii="Arial" w:hAnsi="Arial" w:cs="Arial"/>
                <w:b/>
              </w:rPr>
              <w:t xml:space="preserve"> </w:t>
            </w:r>
          </w:p>
          <w:p w:rsidR="00CB10E5" w:rsidRPr="00CE06E7" w:rsidRDefault="00CB10E5" w:rsidP="00F76EA7">
            <w:pPr>
              <w:autoSpaceDE w:val="0"/>
              <w:autoSpaceDN w:val="0"/>
              <w:jc w:val="center"/>
              <w:rPr>
                <w:rFonts w:ascii="Arial" w:hAnsi="Arial" w:cs="Arial"/>
                <w:i/>
              </w:rPr>
            </w:pPr>
            <w:r w:rsidRPr="00CE06E7">
              <w:rPr>
                <w:rFonts w:ascii="Arial" w:hAnsi="Arial" w:cs="Arial"/>
                <w:i/>
              </w:rPr>
              <w:t>= (B*C)</w:t>
            </w:r>
          </w:p>
          <w:p w:rsidR="00CB10E5" w:rsidRPr="00CE06E7" w:rsidRDefault="00CB10E5" w:rsidP="00F76EA7">
            <w:pPr>
              <w:autoSpaceDE w:val="0"/>
              <w:autoSpaceDN w:val="0"/>
              <w:jc w:val="center"/>
              <w:rPr>
                <w:rFonts w:ascii="Arial" w:hAnsi="Arial" w:cs="Arial"/>
                <w:b/>
                <w:i/>
              </w:rPr>
            </w:pPr>
            <w:r w:rsidRPr="00CE06E7">
              <w:rPr>
                <w:rFonts w:ascii="Arial" w:hAnsi="Arial" w:cs="Arial"/>
                <w:b/>
                <w:i/>
                <w:vertAlign w:val="superscript"/>
              </w:rPr>
              <w:t>(1)</w:t>
            </w:r>
          </w:p>
        </w:tc>
        <w:tc>
          <w:tcPr>
            <w:tcW w:w="1134"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r w:rsidRPr="00CE06E7">
              <w:rPr>
                <w:rFonts w:ascii="Arial" w:hAnsi="Arial" w:cs="Arial"/>
                <w:b/>
              </w:rPr>
              <w:t>PREÇO ANUAL</w:t>
            </w:r>
          </w:p>
          <w:p w:rsidR="00CB10E5" w:rsidRPr="00CE06E7" w:rsidRDefault="00CB10E5" w:rsidP="00F76EA7">
            <w:pPr>
              <w:autoSpaceDE w:val="0"/>
              <w:autoSpaceDN w:val="0"/>
              <w:jc w:val="center"/>
              <w:rPr>
                <w:rFonts w:ascii="Arial" w:hAnsi="Arial" w:cs="Arial"/>
                <w:b/>
              </w:rPr>
            </w:pPr>
            <w:r w:rsidRPr="00CE06E7">
              <w:rPr>
                <w:rFonts w:ascii="Arial" w:hAnsi="Arial" w:cs="Arial"/>
                <w:b/>
              </w:rPr>
              <w:t>R$</w:t>
            </w:r>
          </w:p>
          <w:p w:rsidR="00CB10E5" w:rsidRPr="00CE06E7" w:rsidRDefault="00CB10E5" w:rsidP="00F76EA7">
            <w:pPr>
              <w:autoSpaceDE w:val="0"/>
              <w:autoSpaceDN w:val="0"/>
              <w:jc w:val="center"/>
              <w:rPr>
                <w:rFonts w:ascii="Arial" w:hAnsi="Arial" w:cs="Arial"/>
                <w:b/>
              </w:rPr>
            </w:pPr>
            <w:r w:rsidRPr="00CE06E7">
              <w:rPr>
                <w:rFonts w:ascii="Arial" w:hAnsi="Arial" w:cs="Arial"/>
                <w:b/>
              </w:rPr>
              <w:t>(E</w:t>
            </w:r>
            <w:r>
              <w:rPr>
                <w:rFonts w:ascii="Arial" w:hAnsi="Arial" w:cs="Arial"/>
                <w:b/>
              </w:rPr>
              <w:t>)</w:t>
            </w:r>
            <w:r w:rsidRPr="00CE06E7">
              <w:rPr>
                <w:rFonts w:ascii="Arial" w:hAnsi="Arial" w:cs="Arial"/>
                <w:b/>
              </w:rPr>
              <w:t xml:space="preserve"> </w:t>
            </w:r>
          </w:p>
        </w:tc>
        <w:tc>
          <w:tcPr>
            <w:tcW w:w="1134"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rsidR="00CB10E5" w:rsidRDefault="00CB10E5" w:rsidP="00F76EA7">
            <w:pPr>
              <w:autoSpaceDE w:val="0"/>
              <w:autoSpaceDN w:val="0"/>
              <w:jc w:val="center"/>
              <w:rPr>
                <w:rFonts w:ascii="Arial" w:hAnsi="Arial" w:cs="Arial"/>
                <w:b/>
              </w:rPr>
            </w:pPr>
            <w:r w:rsidRPr="00CE06E7">
              <w:rPr>
                <w:rFonts w:ascii="Arial" w:hAnsi="Arial" w:cs="Arial"/>
                <w:b/>
              </w:rPr>
              <w:t>PREÇO MENSAL</w:t>
            </w:r>
          </w:p>
          <w:p w:rsidR="00CB10E5" w:rsidRPr="00CE06E7" w:rsidRDefault="00CB10E5" w:rsidP="00F76EA7">
            <w:pPr>
              <w:autoSpaceDE w:val="0"/>
              <w:autoSpaceDN w:val="0"/>
              <w:jc w:val="center"/>
              <w:rPr>
                <w:rFonts w:ascii="Arial" w:hAnsi="Arial" w:cs="Arial"/>
                <w:b/>
              </w:rPr>
            </w:pPr>
            <w:r w:rsidRPr="00CE06E7">
              <w:rPr>
                <w:rFonts w:ascii="Arial" w:hAnsi="Arial" w:cs="Arial"/>
                <w:b/>
              </w:rPr>
              <w:t>R$</w:t>
            </w:r>
          </w:p>
          <w:p w:rsidR="00CB10E5" w:rsidRPr="00CE06E7" w:rsidRDefault="00CB10E5" w:rsidP="00F76EA7">
            <w:pPr>
              <w:autoSpaceDE w:val="0"/>
              <w:autoSpaceDN w:val="0"/>
              <w:jc w:val="center"/>
              <w:rPr>
                <w:rFonts w:ascii="Arial" w:hAnsi="Arial" w:cs="Arial"/>
                <w:b/>
              </w:rPr>
            </w:pPr>
            <w:r w:rsidRPr="00CE06E7">
              <w:rPr>
                <w:rFonts w:ascii="Arial" w:hAnsi="Arial" w:cs="Arial"/>
                <w:b/>
              </w:rPr>
              <w:t>(F)</w:t>
            </w:r>
          </w:p>
        </w:tc>
      </w:tr>
      <w:tr w:rsidR="00CB10E5" w:rsidRPr="006E3B14" w:rsidTr="00F76EA7">
        <w:trPr>
          <w:trHeight w:val="20"/>
          <w:jc w:val="center"/>
        </w:trPr>
        <w:tc>
          <w:tcPr>
            <w:tcW w:w="1553" w:type="dxa"/>
            <w:vMerge/>
            <w:tcBorders>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p>
        </w:tc>
        <w:tc>
          <w:tcPr>
            <w:tcW w:w="4112" w:type="dxa"/>
            <w:vMerge/>
            <w:tcBorders>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Style w:val="fonte"/>
                <w:rFonts w:ascii="Arial" w:hAnsi="Arial" w:cs="Arial"/>
              </w:rPr>
            </w:pP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rPr>
            </w:pPr>
          </w:p>
        </w:tc>
        <w:tc>
          <w:tcPr>
            <w:tcW w:w="708" w:type="dxa"/>
            <w:tcBorders>
              <w:left w:val="single" w:sz="4" w:space="0" w:color="auto"/>
              <w:bottom w:val="single" w:sz="4" w:space="0" w:color="auto"/>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p>
        </w:tc>
        <w:tc>
          <w:tcPr>
            <w:tcW w:w="993" w:type="dxa"/>
            <w:tcBorders>
              <w:left w:val="single" w:sz="4" w:space="0" w:color="auto"/>
              <w:bottom w:val="single" w:sz="4" w:space="0" w:color="auto"/>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CB10E5" w:rsidRPr="00CE06E7" w:rsidRDefault="00CB10E5" w:rsidP="00F76EA7">
            <w:pPr>
              <w:autoSpaceDE w:val="0"/>
              <w:autoSpaceDN w:val="0"/>
              <w:jc w:val="center"/>
              <w:rPr>
                <w:rFonts w:ascii="Arial" w:hAnsi="Arial" w:cs="Arial"/>
                <w:b/>
              </w:rPr>
            </w:pPr>
          </w:p>
        </w:tc>
      </w:tr>
      <w:tr w:rsidR="00CB10E5" w:rsidRPr="006E3B14" w:rsidTr="00F76EA7">
        <w:trPr>
          <w:trHeight w:val="368"/>
          <w:jc w:val="center"/>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b/>
              </w:rPr>
            </w:pPr>
            <w:r w:rsidRPr="00CE06E7">
              <w:rPr>
                <w:rFonts w:ascii="Arial" w:hAnsi="Arial" w:cs="Arial"/>
                <w:b/>
              </w:rPr>
              <w:t>GRUPO ÚNICO</w:t>
            </w:r>
          </w:p>
          <w:p w:rsidR="00CB10E5" w:rsidRPr="00CE06E7" w:rsidRDefault="00CB10E5" w:rsidP="00F76EA7">
            <w:pPr>
              <w:autoSpaceDE w:val="0"/>
              <w:autoSpaceDN w:val="0"/>
              <w:jc w:val="center"/>
              <w:rPr>
                <w:rFonts w:ascii="Arial" w:hAnsi="Arial" w:cs="Arial"/>
              </w:rPr>
            </w:pPr>
            <w:r w:rsidRPr="00CE06E7">
              <w:rPr>
                <w:rFonts w:ascii="Arial" w:hAnsi="Arial" w:cs="Arial"/>
                <w:b/>
              </w:rPr>
              <w:t>(Itens 1 a 4)</w:t>
            </w:r>
          </w:p>
        </w:tc>
        <w:tc>
          <w:tcPr>
            <w:tcW w:w="1247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r w:rsidRPr="00CE06E7">
              <w:rPr>
                <w:rFonts w:ascii="Arial" w:hAnsi="Arial" w:cs="Arial"/>
                <w:b/>
                <w:sz w:val="24"/>
                <w:szCs w:val="24"/>
              </w:rPr>
              <w:t>AQUISIÇÃO DE SOLUÇÃO DE REDE CORPORATIVA DE ARMAZENAMENTO DE DADOS</w:t>
            </w:r>
          </w:p>
        </w:tc>
      </w:tr>
      <w:tr w:rsidR="00CB10E5" w:rsidRPr="006E3B14" w:rsidTr="00F76EA7">
        <w:trPr>
          <w:trHeight w:val="378"/>
          <w:jc w:val="center"/>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0E5" w:rsidRPr="00CE06E7" w:rsidRDefault="00CB10E5" w:rsidP="00F76EA7">
            <w:pPr>
              <w:autoSpaceDE w:val="0"/>
              <w:autoSpaceDN w:val="0"/>
              <w:jc w:val="center"/>
              <w:rPr>
                <w:rFonts w:ascii="Arial" w:hAnsi="Arial" w:cs="Arial"/>
              </w:rPr>
            </w:pPr>
            <w:r w:rsidRPr="00CE06E7">
              <w:rPr>
                <w:rFonts w:ascii="Arial" w:hAnsi="Arial" w:cs="Arial"/>
              </w:rPr>
              <w:t>1</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r w:rsidRPr="00CE06E7">
              <w:rPr>
                <w:rFonts w:ascii="Arial" w:hAnsi="Arial" w:cs="Arial"/>
                <w:bCs/>
                <w:noProof/>
              </w:rPr>
              <w:t>SWITCHES DE REDE ARMAZENAMENTO "</w:t>
            </w:r>
            <w:r w:rsidRPr="00CE06E7">
              <w:rPr>
                <w:rFonts w:ascii="Arial" w:hAnsi="Arial" w:cs="Arial"/>
                <w:bCs/>
                <w:i/>
                <w:noProof/>
              </w:rPr>
              <w:t>FIBRE CHANNEL</w:t>
            </w:r>
            <w:r w:rsidRPr="00CE06E7">
              <w:rPr>
                <w:rFonts w:ascii="Arial" w:hAnsi="Arial" w:cs="Arial"/>
                <w:bCs/>
                <w:noProof/>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CB10E5" w:rsidRPr="00CE06E7" w:rsidRDefault="00CB10E5" w:rsidP="00F76EA7">
            <w:pPr>
              <w:autoSpaceDE w:val="0"/>
              <w:autoSpaceDN w:val="0"/>
              <w:jc w:val="center"/>
              <w:rPr>
                <w:rFonts w:ascii="Arial" w:hAnsi="Arial" w:cs="Arial"/>
              </w:rPr>
            </w:pPr>
            <w:r w:rsidRPr="00CE06E7">
              <w:rPr>
                <w:rFonts w:ascii="Arial" w:hAnsi="Arial" w:cs="Arial"/>
              </w:rPr>
              <w:t>U</w:t>
            </w:r>
          </w:p>
        </w:tc>
        <w:tc>
          <w:tcPr>
            <w:tcW w:w="993" w:type="dxa"/>
            <w:tcBorders>
              <w:top w:val="single" w:sz="4" w:space="0" w:color="auto"/>
              <w:left w:val="single" w:sz="4" w:space="0" w:color="auto"/>
              <w:bottom w:val="single" w:sz="4" w:space="0" w:color="auto"/>
              <w:right w:val="single" w:sz="4" w:space="0" w:color="auto"/>
            </w:tcBorders>
            <w:vAlign w:val="center"/>
          </w:tcPr>
          <w:p w:rsidR="00CB10E5" w:rsidRPr="00CE06E7" w:rsidRDefault="00CB10E5" w:rsidP="00F76EA7">
            <w:pPr>
              <w:autoSpaceDE w:val="0"/>
              <w:autoSpaceDN w:val="0"/>
              <w:jc w:val="center"/>
              <w:rPr>
                <w:rFonts w:ascii="Arial" w:hAnsi="Arial" w:cs="Arial"/>
              </w:rPr>
            </w:pPr>
            <w:r w:rsidRPr="00CE06E7">
              <w:rPr>
                <w:rFonts w:ascii="Arial" w:hAnsi="Arial" w:cs="Arial"/>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b/>
                <w:vertAlign w:val="superscript"/>
              </w:rPr>
            </w:pP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B10E5" w:rsidRPr="00CE06E7"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B10E5" w:rsidRPr="00CE06E7" w:rsidRDefault="00CB10E5" w:rsidP="00F76EA7">
            <w:pPr>
              <w:autoSpaceDE w:val="0"/>
              <w:autoSpaceDN w:val="0"/>
              <w:jc w:val="center"/>
              <w:rPr>
                <w:rFonts w:ascii="Arial" w:hAnsi="Arial" w:cs="Arial"/>
              </w:rPr>
            </w:pPr>
          </w:p>
        </w:tc>
      </w:tr>
      <w:tr w:rsidR="00CB10E5" w:rsidRPr="006E3B14" w:rsidTr="00F76EA7">
        <w:trPr>
          <w:trHeight w:val="470"/>
          <w:jc w:val="center"/>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0E5" w:rsidRPr="00CE06E7" w:rsidRDefault="00CB10E5" w:rsidP="00F76EA7">
            <w:pPr>
              <w:autoSpaceDE w:val="0"/>
              <w:autoSpaceDN w:val="0"/>
              <w:jc w:val="center"/>
              <w:rPr>
                <w:rFonts w:ascii="Arial" w:hAnsi="Arial" w:cs="Arial"/>
              </w:rPr>
            </w:pPr>
            <w:r w:rsidRPr="00CE06E7">
              <w:rPr>
                <w:rFonts w:ascii="Arial" w:hAnsi="Arial" w:cs="Arial"/>
              </w:rPr>
              <w:t>2</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r w:rsidRPr="00CE06E7">
              <w:rPr>
                <w:rFonts w:ascii="Arial" w:hAnsi="Arial" w:cs="Arial"/>
                <w:bCs/>
                <w:noProof/>
              </w:rPr>
              <w:t>SOFTWARE DE REDE DE ARMAZENAMENTO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D7323A" w:rsidRDefault="00CB10E5" w:rsidP="00F76EA7">
            <w:pPr>
              <w:autoSpaceDE w:val="0"/>
              <w:autoSpaceDN w:val="0"/>
              <w:jc w:val="center"/>
              <w:rPr>
                <w:rFonts w:ascii="Arial" w:hAnsi="Arial" w:cs="Arial"/>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D7323A" w:rsidRDefault="00CB10E5" w:rsidP="00F76EA7">
            <w:pPr>
              <w:autoSpaceDE w:val="0"/>
              <w:autoSpaceDN w:val="0"/>
              <w:jc w:val="center"/>
              <w:rPr>
                <w:rFonts w:ascii="Arial" w:hAnsi="Arial" w:cs="Arial"/>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rsidR="00CB10E5" w:rsidRPr="00CE06E7" w:rsidRDefault="00CB10E5" w:rsidP="00F76EA7">
            <w:pPr>
              <w:autoSpaceDE w:val="0"/>
              <w:autoSpaceDN w:val="0"/>
              <w:jc w:val="center"/>
              <w:rPr>
                <w:rFonts w:ascii="Arial" w:hAnsi="Arial" w:cs="Arial"/>
              </w:rPr>
            </w:pPr>
            <w:r w:rsidRPr="00CE06E7">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vAlign w:val="center"/>
          </w:tcPr>
          <w:p w:rsidR="00CB10E5" w:rsidRPr="00CE06E7" w:rsidRDefault="00CB10E5" w:rsidP="00F76EA7">
            <w:pPr>
              <w:autoSpaceDE w:val="0"/>
              <w:autoSpaceDN w:val="0"/>
              <w:jc w:val="center"/>
              <w:rPr>
                <w:rFonts w:ascii="Arial" w:hAnsi="Arial" w:cs="Arial"/>
              </w:rPr>
            </w:pPr>
            <w:r w:rsidRPr="00CE06E7">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i/>
              </w:rPr>
            </w:pPr>
            <w:r w:rsidRPr="00CE06E7">
              <w:rPr>
                <w:rFonts w:ascii="Arial" w:hAnsi="Arial" w:cs="Arial"/>
                <w:b/>
                <w:i/>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i/>
              </w:rPr>
            </w:pPr>
            <w:r w:rsidRPr="00CE06E7">
              <w:rPr>
                <w:rFonts w:ascii="Arial" w:hAnsi="Arial" w:cs="Arial"/>
                <w:i/>
              </w:rPr>
              <w:t>= (D/5)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i/>
              </w:rPr>
            </w:pPr>
            <w:r w:rsidRPr="00CE06E7">
              <w:rPr>
                <w:rFonts w:ascii="Arial" w:hAnsi="Arial" w:cs="Arial"/>
                <w:i/>
              </w:rPr>
              <w:t>= (D/60)</w:t>
            </w:r>
          </w:p>
        </w:tc>
      </w:tr>
      <w:tr w:rsidR="00CB10E5" w:rsidRPr="008E0F53" w:rsidTr="00F76EA7">
        <w:trPr>
          <w:trHeight w:val="919"/>
          <w:jc w:val="center"/>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0E5" w:rsidRPr="00CE06E7" w:rsidRDefault="00CB10E5" w:rsidP="00F76EA7">
            <w:pPr>
              <w:autoSpaceDE w:val="0"/>
              <w:autoSpaceDN w:val="0"/>
              <w:jc w:val="center"/>
              <w:rPr>
                <w:rFonts w:ascii="Arial" w:hAnsi="Arial" w:cs="Arial"/>
              </w:rPr>
            </w:pPr>
            <w:r w:rsidRPr="00CE06E7">
              <w:rPr>
                <w:rFonts w:ascii="Arial" w:hAnsi="Arial" w:cs="Arial"/>
              </w:rPr>
              <w:t>3</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r w:rsidRPr="00CE06E7">
              <w:rPr>
                <w:rFonts w:ascii="Arial" w:hAnsi="Arial" w:cs="Arial"/>
                <w:bCs/>
                <w:noProof/>
              </w:rPr>
              <w:t>GARANTIA DE FUNCIONAMENTO, CONTEMPLANDO SERVIÇOS DE SUPORTE E MANUTENÇÃO PARA REDE DE ARMAZENAMENTO</w:t>
            </w:r>
          </w:p>
        </w:tc>
        <w:tc>
          <w:tcPr>
            <w:tcW w:w="993"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B10E5" w:rsidRPr="00252CA4"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B10E5" w:rsidRPr="00CE06E7" w:rsidRDefault="00CB10E5" w:rsidP="00F76EA7">
            <w:pPr>
              <w:autoSpaceDE w:val="0"/>
              <w:autoSpaceDN w:val="0"/>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CB10E5" w:rsidRPr="00CE06E7" w:rsidRDefault="00CB10E5" w:rsidP="00F76EA7">
            <w:pPr>
              <w:autoSpaceDE w:val="0"/>
              <w:autoSpaceDN w:val="0"/>
              <w:jc w:val="center"/>
              <w:rPr>
                <w:rFonts w:ascii="Arial" w:hAnsi="Arial" w:cs="Arial"/>
              </w:rPr>
            </w:pPr>
            <w:r w:rsidRPr="00CE06E7">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vAlign w:val="center"/>
          </w:tcPr>
          <w:p w:rsidR="00CB10E5" w:rsidRPr="00CE06E7" w:rsidRDefault="00CB10E5" w:rsidP="00F76EA7">
            <w:pPr>
              <w:autoSpaceDE w:val="0"/>
              <w:autoSpaceDN w:val="0"/>
              <w:jc w:val="center"/>
              <w:rPr>
                <w:rFonts w:ascii="Arial" w:hAnsi="Arial" w:cs="Arial"/>
              </w:rPr>
            </w:pPr>
            <w:r w:rsidRPr="00CE06E7">
              <w:rPr>
                <w:rFonts w:ascii="Arial" w:hAnsi="Arial" w:cs="Arial"/>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b/>
                <w:i/>
                <w:vertAlign w:val="superscript"/>
              </w:rPr>
            </w:pPr>
            <w:r w:rsidRPr="00CE06E7">
              <w:rPr>
                <w:rFonts w:ascii="Arial" w:hAnsi="Arial" w:cs="Arial"/>
                <w:b/>
                <w:i/>
                <w:vertAlign w:val="superscript"/>
              </w:rPr>
              <w:t xml:space="preserve">(2) </w:t>
            </w:r>
          </w:p>
          <w:p w:rsidR="00CB10E5" w:rsidRPr="00CE06E7" w:rsidRDefault="00CB10E5" w:rsidP="00F76EA7">
            <w:pPr>
              <w:autoSpaceDE w:val="0"/>
              <w:autoSpaceDN w:val="0"/>
              <w:jc w:val="center"/>
              <w:rPr>
                <w:rFonts w:ascii="Arial" w:hAnsi="Arial" w:cs="Arial"/>
                <w:i/>
              </w:rPr>
            </w:pPr>
            <w:r w:rsidRPr="00CE06E7">
              <w:rPr>
                <w:rFonts w:ascii="Arial" w:hAnsi="Arial" w:cs="Arial"/>
                <w:b/>
                <w:i/>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i/>
              </w:rPr>
            </w:pPr>
            <w:r w:rsidRPr="00CE06E7">
              <w:rPr>
                <w:rFonts w:ascii="Arial" w:hAnsi="Arial" w:cs="Arial"/>
                <w:i/>
              </w:rPr>
              <w:t>= (D/5)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i/>
              </w:rPr>
            </w:pPr>
            <w:r w:rsidRPr="00CE06E7">
              <w:rPr>
                <w:rFonts w:ascii="Arial" w:hAnsi="Arial" w:cs="Arial"/>
                <w:i/>
              </w:rPr>
              <w:t>= (D/60)</w:t>
            </w:r>
          </w:p>
        </w:tc>
      </w:tr>
      <w:tr w:rsidR="00CB10E5" w:rsidRPr="008E0F53" w:rsidTr="00F76EA7">
        <w:trPr>
          <w:trHeight w:val="594"/>
          <w:jc w:val="center"/>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0E5" w:rsidRPr="00CE06E7" w:rsidRDefault="00CB10E5" w:rsidP="00F76EA7">
            <w:pPr>
              <w:autoSpaceDE w:val="0"/>
              <w:autoSpaceDN w:val="0"/>
              <w:jc w:val="center"/>
              <w:rPr>
                <w:rFonts w:ascii="Arial" w:hAnsi="Arial" w:cs="Arial"/>
              </w:rPr>
            </w:pPr>
            <w:r w:rsidRPr="00CE06E7">
              <w:rPr>
                <w:rFonts w:ascii="Arial" w:hAnsi="Arial" w:cs="Arial"/>
              </w:rPr>
              <w:t>4</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r w:rsidRPr="00CE06E7">
              <w:rPr>
                <w:rFonts w:ascii="Arial" w:hAnsi="Arial" w:cs="Arial"/>
                <w:bCs/>
                <w:noProof/>
              </w:rPr>
              <w:t>CAPACITAÇÃO OPERACIONAL EM REDE DE ARMAZENAMENTO</w:t>
            </w:r>
          </w:p>
        </w:tc>
        <w:tc>
          <w:tcPr>
            <w:tcW w:w="993"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B10E5" w:rsidRPr="00252CA4"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B10E5" w:rsidRPr="00CE06E7" w:rsidRDefault="00CB10E5" w:rsidP="00F76EA7">
            <w:pPr>
              <w:autoSpaceDE w:val="0"/>
              <w:autoSpaceDN w:val="0"/>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r w:rsidRPr="00CE06E7">
              <w:rPr>
                <w:rFonts w:ascii="Arial" w:hAnsi="Arial" w:cs="Arial"/>
              </w:rPr>
              <w:t>SV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r w:rsidRPr="00CE06E7">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CE06E7"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B10E5" w:rsidRPr="00CE06E7"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B10E5" w:rsidRPr="00CE06E7" w:rsidRDefault="00CB10E5" w:rsidP="00F76EA7">
            <w:pPr>
              <w:autoSpaceDE w:val="0"/>
              <w:autoSpaceDN w:val="0"/>
              <w:jc w:val="center"/>
              <w:rPr>
                <w:rFonts w:ascii="Arial" w:hAnsi="Arial" w:cs="Arial"/>
              </w:rPr>
            </w:pPr>
          </w:p>
        </w:tc>
      </w:tr>
      <w:tr w:rsidR="00CB10E5" w:rsidRPr="008E0F53" w:rsidTr="00F76EA7">
        <w:trPr>
          <w:trHeight w:val="436"/>
          <w:jc w:val="center"/>
        </w:trPr>
        <w:tc>
          <w:tcPr>
            <w:tcW w:w="1062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B10E5" w:rsidRPr="00252CA4" w:rsidRDefault="00CB10E5" w:rsidP="00F76EA7">
            <w:pPr>
              <w:autoSpaceDE w:val="0"/>
              <w:autoSpaceDN w:val="0"/>
              <w:jc w:val="right"/>
              <w:rPr>
                <w:rFonts w:ascii="Arial" w:hAnsi="Arial" w:cs="Arial"/>
              </w:rPr>
            </w:pPr>
            <w:r w:rsidRPr="0046229A">
              <w:rPr>
                <w:rFonts w:ascii="Arial" w:hAnsi="Arial" w:cs="Arial"/>
                <w:b/>
              </w:rPr>
              <w:t>PREÇO TOTAL DO GRUPO ÚNICO R$ (G)</w:t>
            </w:r>
            <w:r>
              <w:rPr>
                <w:rFonts w:ascii="Arial" w:hAnsi="Arial" w:cs="Arial"/>
                <w:b/>
              </w:rPr>
              <w:t xml:space="preserve"> </w:t>
            </w:r>
            <w:r w:rsidRPr="00CE06E7">
              <w:rPr>
                <w:rFonts w:ascii="Arial" w:hAnsi="Arial" w:cs="Arial"/>
                <w:i/>
              </w:rPr>
              <w:t>= ∑ (D)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10E5" w:rsidRPr="00252CA4"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B10E5" w:rsidRPr="00252CA4" w:rsidRDefault="00CB10E5" w:rsidP="00F76EA7">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B10E5" w:rsidRPr="00F9589E" w:rsidRDefault="00CB10E5" w:rsidP="00F76EA7">
            <w:pPr>
              <w:autoSpaceDE w:val="0"/>
              <w:autoSpaceDN w:val="0"/>
              <w:jc w:val="center"/>
              <w:rPr>
                <w:rFonts w:ascii="Arial" w:hAnsi="Arial" w:cs="Arial"/>
              </w:rPr>
            </w:pPr>
          </w:p>
        </w:tc>
      </w:tr>
      <w:tr w:rsidR="00CB10E5" w:rsidRPr="008E0F53" w:rsidTr="00F76EA7">
        <w:trPr>
          <w:trHeight w:val="243"/>
          <w:jc w:val="center"/>
        </w:trPr>
        <w:tc>
          <w:tcPr>
            <w:tcW w:w="1402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B10E5" w:rsidRPr="00252CA4" w:rsidRDefault="00CB10E5" w:rsidP="00F76EA7">
            <w:pPr>
              <w:autoSpaceDE w:val="0"/>
              <w:autoSpaceDN w:val="0"/>
              <w:rPr>
                <w:rFonts w:ascii="Arial" w:hAnsi="Arial" w:cs="Arial"/>
              </w:rPr>
            </w:pPr>
            <w:r>
              <w:rPr>
                <w:rFonts w:ascii="Arial" w:hAnsi="Arial" w:cs="Arial"/>
              </w:rPr>
              <w:t>PREÇO TOTAL POR EXTENSO:</w:t>
            </w:r>
          </w:p>
        </w:tc>
      </w:tr>
    </w:tbl>
    <w:p w:rsidR="00CB10E5" w:rsidRDefault="00CB10E5" w:rsidP="00CB10E5">
      <w:pPr>
        <w:autoSpaceDE w:val="0"/>
        <w:autoSpaceDN w:val="0"/>
        <w:spacing w:before="120" w:after="120"/>
        <w:jc w:val="both"/>
        <w:rPr>
          <w:rFonts w:ascii="Arial" w:hAnsi="Arial" w:cs="Arial"/>
          <w:b/>
          <w:i/>
        </w:rPr>
        <w:sectPr w:rsidR="00CB10E5" w:rsidSect="00CE06E7">
          <w:pgSz w:w="16840" w:h="11907" w:orient="landscape" w:code="9"/>
          <w:pgMar w:top="1701" w:right="1701" w:bottom="1134" w:left="1134" w:header="720" w:footer="720" w:gutter="0"/>
          <w:cols w:space="720"/>
          <w:docGrid w:linePitch="272"/>
        </w:sectPr>
      </w:pPr>
    </w:p>
    <w:p w:rsidR="00CB10E5" w:rsidRPr="00CE06E7" w:rsidRDefault="00CB10E5" w:rsidP="00CB10E5">
      <w:pPr>
        <w:autoSpaceDE w:val="0"/>
        <w:autoSpaceDN w:val="0"/>
        <w:spacing w:before="120" w:after="120"/>
        <w:jc w:val="both"/>
        <w:rPr>
          <w:rFonts w:ascii="Arial" w:hAnsi="Arial" w:cs="Arial"/>
          <w:i/>
        </w:rPr>
      </w:pPr>
      <w:r w:rsidRPr="00CE06E7">
        <w:rPr>
          <w:rFonts w:ascii="Arial" w:hAnsi="Arial" w:cs="Arial"/>
          <w:i/>
          <w:vertAlign w:val="superscript"/>
        </w:rPr>
        <w:lastRenderedPageBreak/>
        <w:t xml:space="preserve">(1) </w:t>
      </w:r>
      <w:r w:rsidRPr="00CE06E7">
        <w:rPr>
          <w:rFonts w:ascii="Arial" w:hAnsi="Arial" w:cs="Arial"/>
          <w:i/>
        </w:rPr>
        <w:t>Os valores constantes da</w:t>
      </w:r>
      <w:r>
        <w:rPr>
          <w:rFonts w:ascii="Arial" w:hAnsi="Arial" w:cs="Arial"/>
          <w:i/>
        </w:rPr>
        <w:t>s</w:t>
      </w:r>
      <w:r w:rsidRPr="00CE06E7">
        <w:rPr>
          <w:rFonts w:ascii="Arial" w:hAnsi="Arial" w:cs="Arial"/>
          <w:i/>
        </w:rPr>
        <w:t xml:space="preserve"> coluna</w:t>
      </w:r>
      <w:r>
        <w:rPr>
          <w:rFonts w:ascii="Arial" w:hAnsi="Arial" w:cs="Arial"/>
          <w:i/>
        </w:rPr>
        <w:t>s “Preço Unitário” e</w:t>
      </w:r>
      <w:r w:rsidRPr="00CE06E7">
        <w:rPr>
          <w:rFonts w:ascii="Arial" w:hAnsi="Arial" w:cs="Arial"/>
          <w:i/>
        </w:rPr>
        <w:t xml:space="preserve"> “Preço Total” são aqueles que deverão ser considerados no envio da proposta eletrônica para cada item do objeto</w:t>
      </w:r>
      <w:r>
        <w:rPr>
          <w:rFonts w:ascii="Arial" w:hAnsi="Arial" w:cs="Arial"/>
          <w:i/>
        </w:rPr>
        <w:t>, resultando no somatório da linha (G)</w:t>
      </w:r>
      <w:r w:rsidRPr="00CE06E7">
        <w:rPr>
          <w:rFonts w:ascii="Arial" w:hAnsi="Arial" w:cs="Arial"/>
          <w:i/>
        </w:rPr>
        <w:t>.</w:t>
      </w:r>
    </w:p>
    <w:p w:rsidR="00CB10E5" w:rsidRPr="00CE06E7" w:rsidRDefault="00CB10E5" w:rsidP="00CB10E5">
      <w:pPr>
        <w:autoSpaceDE w:val="0"/>
        <w:autoSpaceDN w:val="0"/>
        <w:spacing w:before="120" w:after="120"/>
        <w:jc w:val="both"/>
        <w:rPr>
          <w:rFonts w:ascii="Arial" w:hAnsi="Arial" w:cs="Arial"/>
          <w:i/>
        </w:rPr>
      </w:pPr>
      <w:r w:rsidRPr="00CE06E7">
        <w:rPr>
          <w:rFonts w:ascii="Arial" w:hAnsi="Arial" w:cs="Arial"/>
          <w:i/>
          <w:vertAlign w:val="superscript"/>
        </w:rPr>
        <w:t xml:space="preserve">(2) </w:t>
      </w:r>
      <w:r w:rsidRPr="00CE06E7">
        <w:rPr>
          <w:rFonts w:ascii="Arial" w:hAnsi="Arial" w:cs="Arial"/>
          <w:i/>
        </w:rPr>
        <w:t>O valor correspondente a esta célula deverá considerar o preço total para o prazo de 60 meses.</w:t>
      </w:r>
    </w:p>
    <w:p w:rsidR="00CB10E5" w:rsidRPr="00CE06E7" w:rsidRDefault="00CB10E5" w:rsidP="00CB10E5">
      <w:pPr>
        <w:pStyle w:val="WW-Corpodetexto2"/>
        <w:spacing w:before="120" w:after="120"/>
        <w:rPr>
          <w:rFonts w:ascii="Arial" w:hAnsi="Arial" w:cs="Arial"/>
          <w:i/>
          <w:sz w:val="20"/>
        </w:rPr>
      </w:pPr>
      <w:r w:rsidRPr="00CE06E7">
        <w:rPr>
          <w:rFonts w:ascii="Arial" w:hAnsi="Arial" w:cs="Arial"/>
          <w:i/>
          <w:sz w:val="20"/>
          <w:vertAlign w:val="superscript"/>
        </w:rPr>
        <w:t xml:space="preserve">(3) </w:t>
      </w:r>
      <w:r w:rsidRPr="00CE06E7">
        <w:rPr>
          <w:rFonts w:ascii="Arial" w:hAnsi="Arial" w:cs="Arial"/>
          <w:i/>
          <w:sz w:val="20"/>
        </w:rPr>
        <w:t xml:space="preserve">O valor </w:t>
      </w:r>
      <w:r>
        <w:rPr>
          <w:rFonts w:ascii="Arial" w:hAnsi="Arial" w:cs="Arial"/>
          <w:i/>
          <w:sz w:val="20"/>
        </w:rPr>
        <w:t>total d</w:t>
      </w:r>
      <w:r w:rsidRPr="00CE06E7">
        <w:rPr>
          <w:rFonts w:ascii="Arial" w:hAnsi="Arial" w:cs="Arial"/>
          <w:i/>
          <w:sz w:val="20"/>
        </w:rPr>
        <w:t xml:space="preserve">o Item 3 do objeto </w:t>
      </w:r>
      <w:r>
        <w:rPr>
          <w:rFonts w:ascii="Arial" w:hAnsi="Arial" w:cs="Arial"/>
          <w:i/>
          <w:sz w:val="20"/>
        </w:rPr>
        <w:t>na proposta da licitante</w:t>
      </w:r>
      <w:r w:rsidRPr="0046229A">
        <w:rPr>
          <w:rFonts w:ascii="Arial" w:hAnsi="Arial" w:cs="Arial"/>
          <w:i/>
          <w:sz w:val="20"/>
        </w:rPr>
        <w:t xml:space="preserve"> </w:t>
      </w:r>
      <w:r w:rsidRPr="00CE06E7">
        <w:rPr>
          <w:rFonts w:ascii="Arial" w:hAnsi="Arial" w:cs="Arial"/>
          <w:i/>
          <w:sz w:val="20"/>
        </w:rPr>
        <w:t>não poderá ser inferior a 17,72% (dezessete inteiros e setenta e dois centésimos por cento) do valor total do grupo único.</w:t>
      </w:r>
    </w:p>
    <w:p w:rsidR="00CB10E5" w:rsidRDefault="00CB10E5" w:rsidP="00CB1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
    <w:p w:rsidR="00CB10E5" w:rsidRDefault="00CB10E5" w:rsidP="00CB1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r w:rsidRPr="00460885">
        <w:rPr>
          <w:rFonts w:ascii="Arial" w:hAnsi="Arial"/>
          <w:sz w:val="24"/>
          <w:szCs w:val="24"/>
        </w:rPr>
        <w:t>Os preços registrados na forma expressa no sistema eletrônico e nesta proposta incluem todos os custos e todas as despesas, diretas e indiretas, para entrega dos equipamentos, ativação da solução (instalação/configuração/migração), capacitação operacional e prestação dos serviços de garantia de funcionamento do objeto para a Câmara dos Deputados, em Brasília-DF.</w:t>
      </w:r>
    </w:p>
    <w:p w:rsidR="00CB10E5" w:rsidRPr="008750F8" w:rsidRDefault="00CB10E5" w:rsidP="00CB1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
    <w:p w:rsidR="00CB10E5" w:rsidRPr="0068038E" w:rsidRDefault="00CB10E5" w:rsidP="00CB10E5">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rPr>
      </w:pPr>
      <w:r w:rsidRPr="005329C0">
        <w:rPr>
          <w:rFonts w:ascii="Arial" w:hAnsi="Arial"/>
          <w:b/>
          <w:sz w:val="24"/>
          <w:szCs w:val="24"/>
        </w:rPr>
        <w:t xml:space="preserve">Declaramos que </w:t>
      </w:r>
      <w:r w:rsidRPr="00F25D93">
        <w:rPr>
          <w:rFonts w:ascii="Arial" w:hAnsi="Arial"/>
          <w:b/>
          <w:sz w:val="24"/>
          <w:szCs w:val="24"/>
        </w:rPr>
        <w:t>os itens constantes desta proposta correspondem exatamente às especificações e às condições de execução dos serviços descritas no Edital, às quais aderimos formalmente</w:t>
      </w:r>
      <w:r w:rsidRPr="00FF33D0">
        <w:rPr>
          <w:rFonts w:ascii="Arial" w:hAnsi="Arial"/>
          <w:b/>
          <w:sz w:val="24"/>
          <w:szCs w:val="24"/>
        </w:rPr>
        <w:t>.</w:t>
      </w:r>
    </w:p>
    <w:tbl>
      <w:tblPr>
        <w:tblStyle w:val="Tabelacomgrade"/>
        <w:tblW w:w="0" w:type="auto"/>
        <w:tblLook w:val="04A0" w:firstRow="1" w:lastRow="0" w:firstColumn="1" w:lastColumn="0" w:noHBand="0" w:noVBand="1"/>
      </w:tblPr>
      <w:tblGrid>
        <w:gridCol w:w="3003"/>
        <w:gridCol w:w="2719"/>
        <w:gridCol w:w="2772"/>
      </w:tblGrid>
      <w:tr w:rsidR="00CB10E5" w:rsidRPr="001E1306" w:rsidTr="00F76EA7">
        <w:tc>
          <w:tcPr>
            <w:tcW w:w="13995" w:type="dxa"/>
            <w:gridSpan w:val="3"/>
            <w:shd w:val="clear" w:color="auto" w:fill="A6A6A6" w:themeFill="background1" w:themeFillShade="A6"/>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1E1306">
              <w:rPr>
                <w:rFonts w:ascii="Arial" w:hAnsi="Arial" w:cs="Arial"/>
                <w:b/>
                <w:sz w:val="24"/>
                <w:szCs w:val="24"/>
              </w:rPr>
              <w:t>Tabela 2</w:t>
            </w:r>
          </w:p>
        </w:tc>
      </w:tr>
      <w:tr w:rsidR="00CB10E5" w:rsidRPr="001E1306" w:rsidTr="00F76EA7">
        <w:tc>
          <w:tcPr>
            <w:tcW w:w="4665" w:type="dxa"/>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rPr>
            </w:pPr>
            <w:r w:rsidRPr="001E1306">
              <w:rPr>
                <w:rFonts w:ascii="Arial" w:hAnsi="Arial" w:cs="Arial"/>
              </w:rPr>
              <w:t>Item</w:t>
            </w:r>
          </w:p>
        </w:tc>
        <w:tc>
          <w:tcPr>
            <w:tcW w:w="4665" w:type="dxa"/>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i/>
              </w:rPr>
            </w:pPr>
            <w:r w:rsidRPr="001E1306">
              <w:rPr>
                <w:rFonts w:ascii="Arial" w:hAnsi="Arial" w:cs="Arial"/>
                <w:i/>
              </w:rPr>
              <w:t>Part numbers</w:t>
            </w:r>
          </w:p>
        </w:tc>
        <w:tc>
          <w:tcPr>
            <w:tcW w:w="4665" w:type="dxa"/>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rPr>
            </w:pPr>
            <w:r w:rsidRPr="001E1306">
              <w:rPr>
                <w:rFonts w:ascii="Arial" w:hAnsi="Arial" w:cs="Arial"/>
              </w:rPr>
              <w:t>Código e descrição de cada produto, conforme portfólio do fabricante</w:t>
            </w:r>
          </w:p>
        </w:tc>
      </w:tr>
      <w:tr w:rsidR="00CB10E5" w:rsidRPr="001E1306" w:rsidTr="00F76EA7">
        <w:tc>
          <w:tcPr>
            <w:tcW w:w="4665" w:type="dxa"/>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rPr>
            </w:pPr>
            <w:r w:rsidRPr="001E1306">
              <w:rPr>
                <w:rFonts w:ascii="Arial" w:hAnsi="Arial" w:cs="Arial"/>
              </w:rPr>
              <w:t>Componentes de hardware (Item 1 do objeto)</w:t>
            </w:r>
          </w:p>
        </w:tc>
        <w:tc>
          <w:tcPr>
            <w:tcW w:w="4665" w:type="dxa"/>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rPr>
            </w:pPr>
          </w:p>
        </w:tc>
        <w:tc>
          <w:tcPr>
            <w:tcW w:w="4665" w:type="dxa"/>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rPr>
            </w:pPr>
          </w:p>
        </w:tc>
      </w:tr>
      <w:tr w:rsidR="00CB10E5" w:rsidRPr="001E1306" w:rsidTr="00F76EA7">
        <w:tc>
          <w:tcPr>
            <w:tcW w:w="4665" w:type="dxa"/>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rPr>
            </w:pPr>
            <w:r w:rsidRPr="001E1306">
              <w:rPr>
                <w:rFonts w:ascii="Arial" w:hAnsi="Arial" w:cs="Arial"/>
              </w:rPr>
              <w:t>Componentes de software (Item 2 do objeto)</w:t>
            </w:r>
          </w:p>
        </w:tc>
        <w:tc>
          <w:tcPr>
            <w:tcW w:w="4665" w:type="dxa"/>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rPr>
            </w:pPr>
          </w:p>
        </w:tc>
        <w:tc>
          <w:tcPr>
            <w:tcW w:w="4665" w:type="dxa"/>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rPr>
            </w:pPr>
          </w:p>
        </w:tc>
      </w:tr>
      <w:tr w:rsidR="00CB10E5" w:rsidRPr="0049347E" w:rsidTr="00F76EA7">
        <w:tc>
          <w:tcPr>
            <w:tcW w:w="4665" w:type="dxa"/>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rPr>
            </w:pPr>
            <w:r w:rsidRPr="001E1306">
              <w:rPr>
                <w:rFonts w:ascii="Arial" w:hAnsi="Arial" w:cs="Arial"/>
              </w:rPr>
              <w:t>Garantia de funcionamento (Item 3 do objeto)</w:t>
            </w:r>
          </w:p>
        </w:tc>
        <w:tc>
          <w:tcPr>
            <w:tcW w:w="4665" w:type="dxa"/>
            <w:vAlign w:val="center"/>
          </w:tcPr>
          <w:p w:rsidR="00CB10E5" w:rsidRPr="001E1306"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rPr>
            </w:pPr>
          </w:p>
        </w:tc>
        <w:tc>
          <w:tcPr>
            <w:tcW w:w="4665" w:type="dxa"/>
            <w:vAlign w:val="center"/>
          </w:tcPr>
          <w:p w:rsidR="00CB10E5" w:rsidRPr="00CE06E7" w:rsidRDefault="00CB10E5" w:rsidP="00F76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rPr>
            </w:pPr>
          </w:p>
        </w:tc>
      </w:tr>
    </w:tbl>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tbl>
      <w:tblPr>
        <w:tblStyle w:val="Tabelacomgrade"/>
        <w:tblW w:w="0" w:type="auto"/>
        <w:tblInd w:w="1555" w:type="dxa"/>
        <w:tblLook w:val="04A0" w:firstRow="1" w:lastRow="0" w:firstColumn="1" w:lastColumn="0" w:noHBand="0" w:noVBand="1"/>
      </w:tblPr>
      <w:tblGrid>
        <w:gridCol w:w="2121"/>
        <w:gridCol w:w="1749"/>
        <w:gridCol w:w="1580"/>
        <w:gridCol w:w="1489"/>
      </w:tblGrid>
      <w:tr w:rsidR="00CB10E5" w:rsidRPr="001E1306" w:rsidTr="00F76EA7">
        <w:tc>
          <w:tcPr>
            <w:tcW w:w="10239" w:type="dxa"/>
            <w:gridSpan w:val="4"/>
            <w:shd w:val="clear" w:color="auto" w:fill="A6A6A6" w:themeFill="background1" w:themeFillShade="A6"/>
            <w:vAlign w:val="center"/>
          </w:tcPr>
          <w:p w:rsidR="00CB10E5" w:rsidRPr="001E1306" w:rsidRDefault="00CB10E5" w:rsidP="00F76EA7">
            <w:pPr>
              <w:jc w:val="center"/>
              <w:rPr>
                <w:rFonts w:ascii="Arial" w:hAnsi="Arial" w:cs="Arial"/>
                <w:b/>
                <w:sz w:val="24"/>
                <w:szCs w:val="24"/>
              </w:rPr>
            </w:pPr>
            <w:r w:rsidRPr="001E1306">
              <w:rPr>
                <w:rFonts w:ascii="Arial" w:hAnsi="Arial" w:cs="Arial"/>
                <w:b/>
                <w:sz w:val="24"/>
                <w:szCs w:val="24"/>
              </w:rPr>
              <w:t>Tabela 3</w:t>
            </w:r>
          </w:p>
          <w:p w:rsidR="00CB10E5" w:rsidRPr="001E1306" w:rsidRDefault="00CB10E5" w:rsidP="00F76EA7">
            <w:pPr>
              <w:jc w:val="center"/>
              <w:rPr>
                <w:rFonts w:ascii="Arial" w:hAnsi="Arial" w:cs="Arial"/>
                <w:b/>
                <w:sz w:val="24"/>
                <w:szCs w:val="24"/>
              </w:rPr>
            </w:pPr>
            <w:r w:rsidRPr="001E1306">
              <w:rPr>
                <w:rFonts w:ascii="Arial" w:hAnsi="Arial" w:cs="Arial"/>
                <w:sz w:val="24"/>
                <w:szCs w:val="24"/>
              </w:rPr>
              <w:t>Tabela com o detalhamento dos preços dos componentes ofertados, no mínimo, para:</w:t>
            </w:r>
          </w:p>
        </w:tc>
      </w:tr>
      <w:tr w:rsidR="00CB10E5" w:rsidRPr="001E1306" w:rsidTr="00F76EA7">
        <w:tc>
          <w:tcPr>
            <w:tcW w:w="3110" w:type="dxa"/>
            <w:shd w:val="clear" w:color="auto" w:fill="auto"/>
            <w:vAlign w:val="center"/>
          </w:tcPr>
          <w:p w:rsidR="00CB10E5" w:rsidRPr="001E1306" w:rsidRDefault="00CB10E5" w:rsidP="00F76EA7">
            <w:pPr>
              <w:pStyle w:val="TLet3"/>
              <w:spacing w:before="0" w:after="0"/>
              <w:ind w:left="-108"/>
              <w:jc w:val="center"/>
              <w:rPr>
                <w:b/>
              </w:rPr>
            </w:pPr>
            <w:r w:rsidRPr="001E1306">
              <w:rPr>
                <w:b/>
              </w:rPr>
              <w:t>Componente</w:t>
            </w:r>
          </w:p>
        </w:tc>
        <w:tc>
          <w:tcPr>
            <w:tcW w:w="2134" w:type="dxa"/>
            <w:shd w:val="clear" w:color="auto" w:fill="auto"/>
            <w:vAlign w:val="center"/>
          </w:tcPr>
          <w:p w:rsidR="00CB10E5" w:rsidRPr="001E1306" w:rsidRDefault="00CB10E5" w:rsidP="00F76EA7">
            <w:pPr>
              <w:jc w:val="center"/>
              <w:rPr>
                <w:rFonts w:ascii="Arial" w:hAnsi="Arial" w:cs="Arial"/>
                <w:b/>
                <w:sz w:val="24"/>
                <w:szCs w:val="24"/>
              </w:rPr>
            </w:pPr>
            <w:r w:rsidRPr="001E1306">
              <w:rPr>
                <w:rFonts w:ascii="Arial" w:hAnsi="Arial" w:cs="Arial"/>
                <w:b/>
                <w:sz w:val="24"/>
                <w:szCs w:val="24"/>
              </w:rPr>
              <w:t>Quantidade</w:t>
            </w:r>
          </w:p>
        </w:tc>
        <w:tc>
          <w:tcPr>
            <w:tcW w:w="2410" w:type="dxa"/>
            <w:shd w:val="clear" w:color="auto" w:fill="auto"/>
            <w:vAlign w:val="center"/>
          </w:tcPr>
          <w:p w:rsidR="00CB10E5" w:rsidRPr="001E1306" w:rsidRDefault="00CB10E5" w:rsidP="00F76EA7">
            <w:pPr>
              <w:jc w:val="center"/>
              <w:rPr>
                <w:rFonts w:ascii="Arial" w:hAnsi="Arial" w:cs="Arial"/>
                <w:b/>
                <w:sz w:val="24"/>
                <w:szCs w:val="24"/>
              </w:rPr>
            </w:pPr>
            <w:r w:rsidRPr="001E1306">
              <w:rPr>
                <w:rFonts w:ascii="Arial" w:hAnsi="Arial" w:cs="Arial"/>
                <w:b/>
                <w:sz w:val="24"/>
                <w:szCs w:val="24"/>
              </w:rPr>
              <w:t>Preço Unitário</w:t>
            </w:r>
          </w:p>
          <w:p w:rsidR="00CB10E5" w:rsidRPr="001E1306" w:rsidRDefault="00CB10E5" w:rsidP="00F76EA7">
            <w:pPr>
              <w:jc w:val="center"/>
              <w:rPr>
                <w:rFonts w:ascii="Arial" w:hAnsi="Arial" w:cs="Arial"/>
                <w:b/>
                <w:sz w:val="24"/>
                <w:szCs w:val="24"/>
              </w:rPr>
            </w:pPr>
            <w:r w:rsidRPr="001E1306">
              <w:rPr>
                <w:rFonts w:ascii="Arial" w:hAnsi="Arial" w:cs="Arial"/>
                <w:b/>
                <w:sz w:val="24"/>
                <w:szCs w:val="24"/>
              </w:rPr>
              <w:t>(R$)</w:t>
            </w:r>
          </w:p>
        </w:tc>
        <w:tc>
          <w:tcPr>
            <w:tcW w:w="2585" w:type="dxa"/>
            <w:shd w:val="clear" w:color="auto" w:fill="auto"/>
            <w:vAlign w:val="center"/>
          </w:tcPr>
          <w:p w:rsidR="00CB10E5" w:rsidRPr="001E1306" w:rsidRDefault="00CB10E5" w:rsidP="00F76EA7">
            <w:pPr>
              <w:jc w:val="center"/>
              <w:rPr>
                <w:rFonts w:ascii="Arial" w:hAnsi="Arial" w:cs="Arial"/>
                <w:b/>
                <w:sz w:val="24"/>
                <w:szCs w:val="24"/>
              </w:rPr>
            </w:pPr>
            <w:r w:rsidRPr="001E1306">
              <w:rPr>
                <w:rFonts w:ascii="Arial" w:hAnsi="Arial" w:cs="Arial"/>
                <w:b/>
                <w:sz w:val="24"/>
                <w:szCs w:val="24"/>
              </w:rPr>
              <w:t>Preço Total</w:t>
            </w:r>
          </w:p>
          <w:p w:rsidR="00CB10E5" w:rsidRPr="001E1306" w:rsidRDefault="00CB10E5" w:rsidP="00F76EA7">
            <w:pPr>
              <w:jc w:val="center"/>
              <w:rPr>
                <w:rFonts w:ascii="Arial" w:hAnsi="Arial" w:cs="Arial"/>
                <w:b/>
                <w:sz w:val="24"/>
                <w:szCs w:val="24"/>
              </w:rPr>
            </w:pPr>
            <w:r w:rsidRPr="001E1306">
              <w:rPr>
                <w:rFonts w:ascii="Arial" w:hAnsi="Arial" w:cs="Arial"/>
                <w:b/>
                <w:sz w:val="24"/>
                <w:szCs w:val="24"/>
              </w:rPr>
              <w:t>(R$)</w:t>
            </w:r>
          </w:p>
        </w:tc>
      </w:tr>
      <w:tr w:rsidR="00CB10E5" w:rsidRPr="003B2969" w:rsidTr="00F76EA7">
        <w:tc>
          <w:tcPr>
            <w:tcW w:w="3110" w:type="dxa"/>
            <w:shd w:val="clear" w:color="auto" w:fill="auto"/>
            <w:vAlign w:val="center"/>
          </w:tcPr>
          <w:p w:rsidR="00CB10E5" w:rsidRPr="003B2969" w:rsidRDefault="00CB10E5" w:rsidP="00F76EA7">
            <w:pPr>
              <w:pStyle w:val="TLet3"/>
              <w:spacing w:before="0" w:after="0"/>
              <w:ind w:left="-113"/>
              <w:jc w:val="center"/>
            </w:pPr>
            <w:r w:rsidRPr="001E1306">
              <w:t>Cabos de fibra óptica monomodo e multimodo, de interconexão dos switches</w:t>
            </w:r>
          </w:p>
        </w:tc>
        <w:tc>
          <w:tcPr>
            <w:tcW w:w="2134" w:type="dxa"/>
            <w:shd w:val="clear" w:color="auto" w:fill="auto"/>
            <w:vAlign w:val="center"/>
          </w:tcPr>
          <w:p w:rsidR="00CB10E5" w:rsidRPr="003B2969" w:rsidRDefault="00CB10E5" w:rsidP="00F76EA7">
            <w:pPr>
              <w:jc w:val="center"/>
              <w:rPr>
                <w:rFonts w:ascii="Arial" w:hAnsi="Arial" w:cs="Arial"/>
                <w:sz w:val="24"/>
                <w:szCs w:val="24"/>
              </w:rPr>
            </w:pPr>
          </w:p>
        </w:tc>
        <w:tc>
          <w:tcPr>
            <w:tcW w:w="2410" w:type="dxa"/>
            <w:shd w:val="clear" w:color="auto" w:fill="auto"/>
            <w:vAlign w:val="center"/>
          </w:tcPr>
          <w:p w:rsidR="00CB10E5" w:rsidRPr="003B2969" w:rsidRDefault="00CB10E5" w:rsidP="00F76EA7">
            <w:pPr>
              <w:jc w:val="center"/>
              <w:rPr>
                <w:rFonts w:ascii="Arial" w:hAnsi="Arial" w:cs="Arial"/>
                <w:sz w:val="24"/>
                <w:szCs w:val="24"/>
              </w:rPr>
            </w:pPr>
          </w:p>
        </w:tc>
        <w:tc>
          <w:tcPr>
            <w:tcW w:w="2585" w:type="dxa"/>
            <w:shd w:val="clear" w:color="auto" w:fill="auto"/>
            <w:vAlign w:val="center"/>
          </w:tcPr>
          <w:p w:rsidR="00CB10E5" w:rsidRPr="003B2969" w:rsidRDefault="00CB10E5" w:rsidP="00F76EA7">
            <w:pPr>
              <w:jc w:val="center"/>
              <w:rPr>
                <w:rFonts w:ascii="Arial" w:hAnsi="Arial" w:cs="Arial"/>
                <w:b/>
                <w:sz w:val="24"/>
                <w:szCs w:val="24"/>
              </w:rPr>
            </w:pPr>
          </w:p>
        </w:tc>
      </w:tr>
    </w:tbl>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Pr>
          <w:rFonts w:ascii="Arial" w:hAnsi="Arial" w:cs="Arial"/>
          <w:b/>
          <w:sz w:val="24"/>
          <w:szCs w:val="24"/>
        </w:rPr>
        <w:lastRenderedPageBreak/>
        <w:t>TABELA DE CONFORMIDADE TÉCNICA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9"/>
        <w:gridCol w:w="2834"/>
      </w:tblGrid>
      <w:tr w:rsidR="00CB10E5" w:rsidRPr="00A411C9" w:rsidTr="00F76EA7">
        <w:trPr>
          <w:tblHeader/>
          <w:jc w:val="center"/>
        </w:trPr>
        <w:tc>
          <w:tcPr>
            <w:tcW w:w="6239" w:type="dxa"/>
            <w:shd w:val="clear" w:color="auto" w:fill="D9D9D9"/>
            <w:vAlign w:val="center"/>
          </w:tcPr>
          <w:p w:rsidR="00CB10E5" w:rsidRPr="001F0BAE" w:rsidRDefault="00CB10E5" w:rsidP="00F76EA7">
            <w:pPr>
              <w:jc w:val="center"/>
              <w:rPr>
                <w:rFonts w:ascii="Arial" w:hAnsi="Arial" w:cs="Arial"/>
                <w:b/>
                <w:bCs/>
                <w:sz w:val="22"/>
                <w:szCs w:val="22"/>
              </w:rPr>
            </w:pPr>
            <w:r w:rsidRPr="001F0BAE">
              <w:rPr>
                <w:rFonts w:ascii="Arial" w:hAnsi="Arial" w:cs="Arial"/>
                <w:b/>
                <w:bCs/>
                <w:sz w:val="22"/>
                <w:szCs w:val="22"/>
              </w:rPr>
              <w:t>REQUISITOS</w:t>
            </w:r>
          </w:p>
          <w:p w:rsidR="00CB10E5" w:rsidRPr="001F0BAE" w:rsidRDefault="00CB10E5" w:rsidP="00F76EA7">
            <w:pPr>
              <w:jc w:val="center"/>
              <w:rPr>
                <w:rFonts w:ascii="Arial" w:hAnsi="Arial" w:cs="Arial"/>
                <w:i/>
                <w:sz w:val="22"/>
                <w:szCs w:val="22"/>
              </w:rPr>
            </w:pPr>
          </w:p>
        </w:tc>
        <w:tc>
          <w:tcPr>
            <w:tcW w:w="2834" w:type="dxa"/>
            <w:shd w:val="clear" w:color="auto" w:fill="D9D9D9"/>
            <w:vAlign w:val="center"/>
          </w:tcPr>
          <w:p w:rsidR="00CB10E5" w:rsidRPr="00A411C9" w:rsidRDefault="00CB10E5" w:rsidP="00F76EA7">
            <w:pPr>
              <w:jc w:val="center"/>
              <w:rPr>
                <w:rFonts w:ascii="Arial" w:hAnsi="Arial" w:cs="Arial"/>
                <w:b/>
                <w:bCs/>
                <w:sz w:val="22"/>
                <w:szCs w:val="22"/>
              </w:rPr>
            </w:pPr>
            <w:r w:rsidRPr="00A411C9">
              <w:rPr>
                <w:rFonts w:ascii="Arial" w:hAnsi="Arial" w:cs="Arial"/>
                <w:b/>
                <w:bCs/>
                <w:sz w:val="22"/>
                <w:szCs w:val="22"/>
              </w:rPr>
              <w:t>Comprovação</w:t>
            </w:r>
          </w:p>
          <w:p w:rsidR="00CB10E5" w:rsidRPr="00A411C9" w:rsidRDefault="00CB10E5" w:rsidP="00F76EA7">
            <w:pPr>
              <w:jc w:val="center"/>
              <w:rPr>
                <w:rFonts w:ascii="Arial" w:hAnsi="Arial" w:cs="Arial"/>
                <w:i/>
                <w:sz w:val="22"/>
                <w:szCs w:val="22"/>
              </w:rPr>
            </w:pPr>
            <w:r w:rsidRPr="00A411C9">
              <w:rPr>
                <w:rFonts w:ascii="Arial" w:hAnsi="Arial" w:cs="Arial"/>
                <w:i/>
                <w:sz w:val="22"/>
                <w:szCs w:val="22"/>
              </w:rPr>
              <w:t>(</w:t>
            </w:r>
            <w:proofErr w:type="gramStart"/>
            <w:r w:rsidRPr="00A411C9">
              <w:rPr>
                <w:rFonts w:ascii="Arial" w:hAnsi="Arial" w:cs="Arial"/>
                <w:i/>
                <w:sz w:val="22"/>
                <w:szCs w:val="22"/>
              </w:rPr>
              <w:t>número</w:t>
            </w:r>
            <w:proofErr w:type="gramEnd"/>
            <w:r w:rsidRPr="00A411C9">
              <w:rPr>
                <w:rFonts w:ascii="Arial" w:hAnsi="Arial" w:cs="Arial"/>
                <w:i/>
                <w:sz w:val="22"/>
                <w:szCs w:val="22"/>
              </w:rPr>
              <w:t xml:space="preserve"> da página da proposta que comprove o requisito)</w:t>
            </w:r>
          </w:p>
        </w:tc>
      </w:tr>
      <w:tr w:rsidR="00CB10E5" w:rsidRPr="00A411C9" w:rsidTr="00F76EA7">
        <w:trPr>
          <w:jc w:val="center"/>
        </w:trPr>
        <w:tc>
          <w:tcPr>
            <w:tcW w:w="6239" w:type="dxa"/>
            <w:shd w:val="clear" w:color="auto" w:fill="auto"/>
            <w:vAlign w:val="center"/>
          </w:tcPr>
          <w:p w:rsidR="00CB10E5" w:rsidRPr="001F0BAE" w:rsidRDefault="00CB10E5" w:rsidP="00F76EA7">
            <w:pPr>
              <w:rPr>
                <w:rFonts w:ascii="Arial" w:hAnsi="Arial" w:cs="Arial"/>
                <w:sz w:val="22"/>
                <w:szCs w:val="22"/>
              </w:rPr>
            </w:pPr>
            <w:r w:rsidRPr="001F0BAE">
              <w:rPr>
                <w:rFonts w:ascii="Arial" w:hAnsi="Arial" w:cs="Arial"/>
                <w:sz w:val="22"/>
                <w:szCs w:val="22"/>
              </w:rPr>
              <w:t>1.1. REQUISITOS GERAIS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vAlign w:val="center"/>
          </w:tcPr>
          <w:p w:rsidR="00CB10E5" w:rsidRPr="001F0BAE" w:rsidRDefault="00CB10E5" w:rsidP="00F76EA7">
            <w:pPr>
              <w:jc w:val="both"/>
              <w:rPr>
                <w:rFonts w:ascii="Arial" w:hAnsi="Arial" w:cs="Arial"/>
                <w:sz w:val="22"/>
                <w:szCs w:val="22"/>
              </w:rPr>
            </w:pPr>
            <w:r w:rsidRPr="001F0BAE">
              <w:rPr>
                <w:rFonts w:ascii="Arial" w:hAnsi="Arial" w:cs="Arial"/>
                <w:sz w:val="22"/>
                <w:szCs w:val="22"/>
              </w:rPr>
              <w:t xml:space="preserve">1.1.1. A solução será composta por 4 (quatro) switches FC </w:t>
            </w:r>
            <w:r w:rsidRPr="001F0BAE">
              <w:rPr>
                <w:rFonts w:ascii="Arial" w:hAnsi="Arial" w:cs="Arial"/>
                <w:i/>
                <w:sz w:val="22"/>
                <w:szCs w:val="22"/>
              </w:rPr>
              <w:t>(“Fibre Channel”)</w:t>
            </w:r>
            <w:r w:rsidRPr="001F0BAE">
              <w:rPr>
                <w:rFonts w:ascii="Arial" w:hAnsi="Arial" w:cs="Arial"/>
                <w:sz w:val="22"/>
                <w:szCs w:val="22"/>
              </w:rPr>
              <w:t xml:space="preserve"> de rede de armazenamento (SAN) do tipo director FC, provendo um total mínimo de 768 (setecentos e sessenta e oito) portas ópticas, uniformemente distribuídos entre os 2 (dois) sítios da Contratante (CETEC Norte e CETEC Sul) interconectados por meio de dois caminhos ISL distintos, disponíveis na infraestrutura da Contratante, formando 2 (duas) redes físicas isoladas (“fabrics” físicos independentes) com igual número de portas, ambos estendendo-se entre os 2 (dois) datacenters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trHeight w:val="793"/>
          <w:jc w:val="center"/>
        </w:trPr>
        <w:tc>
          <w:tcPr>
            <w:tcW w:w="6239" w:type="dxa"/>
            <w:shd w:val="clear" w:color="auto" w:fill="auto"/>
            <w:vAlign w:val="center"/>
          </w:tcPr>
          <w:p w:rsidR="00CB10E5" w:rsidRPr="00A411C9" w:rsidRDefault="00CB10E5" w:rsidP="00F76EA7">
            <w:pPr>
              <w:jc w:val="both"/>
              <w:rPr>
                <w:rFonts w:ascii="Arial" w:hAnsi="Arial" w:cs="Arial"/>
                <w:sz w:val="22"/>
                <w:szCs w:val="22"/>
              </w:rPr>
            </w:pPr>
            <w:r w:rsidRPr="00A411C9">
              <w:rPr>
                <w:rFonts w:ascii="Arial" w:hAnsi="Arial" w:cs="Arial"/>
                <w:sz w:val="22"/>
                <w:szCs w:val="22"/>
              </w:rPr>
              <w:t>1.1.2. Todos os equipamentos deverão ser iguais, do mesmo modelo, mesma capacidade e mesma configuração de hardware e software, utilizando o mesmo firmware e software de geren</w:t>
            </w:r>
            <w:r>
              <w:rPr>
                <w:rFonts w:ascii="Arial" w:hAnsi="Arial" w:cs="Arial"/>
                <w:sz w:val="22"/>
                <w:szCs w:val="22"/>
              </w:rPr>
              <w:t>ciamento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vAlign w:val="center"/>
          </w:tcPr>
          <w:p w:rsidR="00CB10E5" w:rsidRPr="003C6E67" w:rsidRDefault="00CB10E5" w:rsidP="00F76EA7">
            <w:pPr>
              <w:jc w:val="both"/>
              <w:rPr>
                <w:rFonts w:ascii="Arial" w:hAnsi="Arial" w:cs="Arial"/>
                <w:sz w:val="22"/>
                <w:szCs w:val="22"/>
              </w:rPr>
            </w:pPr>
            <w:r w:rsidRPr="003C6E67">
              <w:rPr>
                <w:rFonts w:ascii="Arial" w:hAnsi="Arial" w:cs="Arial"/>
                <w:sz w:val="22"/>
                <w:szCs w:val="22"/>
              </w:rPr>
              <w:t xml:space="preserve">1.1.3. Todos os equipamentos deverão ser novos, para primeiro uso e deverão pertencer à geração mais recente de produtos disponíveis na página Internet do fabricante, e estar ainda em linha de fabricação sem que, na data da abertura da licitação, haja publicação de anúncio pelo fabricante da data de fim de vida do equipamento </w:t>
            </w:r>
            <w:r w:rsidRPr="003C6E67">
              <w:rPr>
                <w:rFonts w:ascii="Arial" w:hAnsi="Arial" w:cs="Arial"/>
                <w:i/>
                <w:sz w:val="22"/>
                <w:szCs w:val="22"/>
              </w:rPr>
              <w:t>(“EOL” – “End of Life”)</w:t>
            </w:r>
            <w:r w:rsidRPr="003C6E67">
              <w:rPr>
                <w:rFonts w:ascii="Arial" w:hAnsi="Arial" w:cs="Arial"/>
                <w:sz w:val="22"/>
                <w:szCs w:val="22"/>
              </w:rPr>
              <w:t xml:space="preserve"> ou de descontinuidade dos seus serviços de suporte e manutenção </w:t>
            </w:r>
            <w:r w:rsidRPr="003C6E67">
              <w:rPr>
                <w:rFonts w:ascii="Arial" w:hAnsi="Arial" w:cs="Arial"/>
                <w:i/>
                <w:sz w:val="22"/>
                <w:szCs w:val="22"/>
              </w:rPr>
              <w:t>(“EOS” – “End of Support”)</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3C6E67" w:rsidRDefault="00CB10E5" w:rsidP="00F76EA7">
            <w:pPr>
              <w:jc w:val="both"/>
              <w:rPr>
                <w:rFonts w:ascii="Arial" w:hAnsi="Arial" w:cs="Arial"/>
                <w:sz w:val="22"/>
                <w:szCs w:val="22"/>
              </w:rPr>
            </w:pPr>
            <w:r w:rsidRPr="003C6E67">
              <w:rPr>
                <w:rFonts w:ascii="Arial" w:hAnsi="Arial" w:cs="Arial"/>
                <w:sz w:val="22"/>
                <w:szCs w:val="22"/>
              </w:rPr>
              <w:t>1.1.4. Caso a solução ofertada demande, para o seu perfeito funcionamento, equipamentos e/ou softwares adicionais, estes deverão estar incluídos na proposta da licitante</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3C6E67" w:rsidRDefault="00CB10E5" w:rsidP="00F76EA7">
            <w:pPr>
              <w:jc w:val="both"/>
              <w:rPr>
                <w:rFonts w:ascii="Arial" w:hAnsi="Arial" w:cs="Arial"/>
                <w:sz w:val="22"/>
                <w:szCs w:val="22"/>
              </w:rPr>
            </w:pPr>
            <w:r w:rsidRPr="003C6E67">
              <w:rPr>
                <w:rFonts w:ascii="Arial" w:hAnsi="Arial" w:cs="Arial"/>
                <w:sz w:val="22"/>
                <w:szCs w:val="22"/>
              </w:rPr>
              <w:t>1.1.5. Deverão ser fornecidas todas as licenças de software e hardware necessárias à implementação de todas as funcionalidades solicitadas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3C6E67" w:rsidRDefault="00CB10E5" w:rsidP="00F76EA7">
            <w:pPr>
              <w:jc w:val="both"/>
              <w:rPr>
                <w:rFonts w:ascii="Arial" w:hAnsi="Arial" w:cs="Arial"/>
                <w:sz w:val="22"/>
                <w:szCs w:val="22"/>
              </w:rPr>
            </w:pPr>
            <w:r w:rsidRPr="003C6E67">
              <w:rPr>
                <w:rFonts w:ascii="Arial" w:hAnsi="Arial" w:cs="Arial"/>
                <w:sz w:val="22"/>
                <w:szCs w:val="22"/>
              </w:rPr>
              <w:t>1.1.6. Todos os softwares e todas as funcionalidades exigidas deverão estar licenciados para a capacidade total de switches FC e de portas fornecidas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16611" w:rsidRDefault="00CB10E5" w:rsidP="00F76EA7">
            <w:pPr>
              <w:jc w:val="both"/>
              <w:rPr>
                <w:rFonts w:ascii="Arial" w:hAnsi="Arial" w:cs="Arial"/>
                <w:sz w:val="22"/>
                <w:szCs w:val="22"/>
              </w:rPr>
            </w:pPr>
            <w:r w:rsidRPr="00A16611">
              <w:rPr>
                <w:rFonts w:ascii="Arial" w:hAnsi="Arial" w:cs="Arial"/>
                <w:sz w:val="22"/>
                <w:szCs w:val="22"/>
              </w:rPr>
              <w:t>1.1.7. O licenciamento do software de gerenciamento da solução, na modalidade de subscrição, será ativo e válido até, no mínimo, o final do período de garantia de funcionamento da solução, bem como todas as funcionalidades associadas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16611" w:rsidRDefault="00CB10E5" w:rsidP="00F76EA7">
            <w:pPr>
              <w:jc w:val="both"/>
              <w:rPr>
                <w:rFonts w:ascii="Arial" w:hAnsi="Arial" w:cs="Arial"/>
                <w:sz w:val="22"/>
                <w:szCs w:val="22"/>
              </w:rPr>
            </w:pPr>
            <w:r w:rsidRPr="00A16611">
              <w:rPr>
                <w:rFonts w:ascii="Arial" w:hAnsi="Arial" w:cs="Arial"/>
                <w:sz w:val="22"/>
                <w:szCs w:val="22"/>
              </w:rPr>
              <w:t>1.1.7.1. Todas as demais licenças de software e firmware oferecidas, bem como as funcionalidades decorrentes, deverão ser válidas e ativas por tempo indeterminado, sem prazo de validade</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16611" w:rsidRDefault="00CB10E5" w:rsidP="00F76EA7">
            <w:pPr>
              <w:jc w:val="both"/>
              <w:rPr>
                <w:rFonts w:ascii="Arial" w:hAnsi="Arial" w:cs="Arial"/>
                <w:sz w:val="22"/>
                <w:szCs w:val="22"/>
              </w:rPr>
            </w:pPr>
            <w:r w:rsidRPr="00A16611">
              <w:rPr>
                <w:rFonts w:ascii="Arial" w:hAnsi="Arial" w:cs="Arial"/>
                <w:sz w:val="22"/>
                <w:szCs w:val="22"/>
              </w:rPr>
              <w:t xml:space="preserve">1.1.8. Os softwares de gerenciamento deverão ser fornecidos em sua versão mais recente, sem que, na data da abertura da licitação, haja publicação de anúncio pelo fabricante da data de fim de vida </w:t>
            </w:r>
            <w:r w:rsidRPr="00A16611">
              <w:rPr>
                <w:rFonts w:ascii="Arial" w:hAnsi="Arial" w:cs="Arial"/>
                <w:i/>
                <w:sz w:val="22"/>
                <w:szCs w:val="22"/>
              </w:rPr>
              <w:t>(“EOL” – “End of Life”)</w:t>
            </w:r>
            <w:r w:rsidRPr="00A16611">
              <w:rPr>
                <w:rFonts w:ascii="Arial" w:hAnsi="Arial" w:cs="Arial"/>
                <w:sz w:val="22"/>
                <w:szCs w:val="22"/>
              </w:rPr>
              <w:t xml:space="preserve"> ou da data de descontinuidade dos serviços de suporte e manutenção </w:t>
            </w:r>
            <w:r w:rsidRPr="00A16611">
              <w:rPr>
                <w:rFonts w:ascii="Arial" w:hAnsi="Arial" w:cs="Arial"/>
                <w:i/>
                <w:sz w:val="22"/>
                <w:szCs w:val="22"/>
              </w:rPr>
              <w:t>(“EOS” – “End of Support”)</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16611" w:rsidRDefault="00CB10E5" w:rsidP="00F76EA7">
            <w:pPr>
              <w:jc w:val="both"/>
              <w:rPr>
                <w:rFonts w:ascii="Arial" w:hAnsi="Arial" w:cs="Arial"/>
                <w:sz w:val="22"/>
                <w:szCs w:val="22"/>
              </w:rPr>
            </w:pPr>
            <w:r w:rsidRPr="00A16611">
              <w:rPr>
                <w:rFonts w:ascii="Arial" w:hAnsi="Arial" w:cs="Arial"/>
                <w:sz w:val="22"/>
                <w:szCs w:val="22"/>
              </w:rPr>
              <w:t xml:space="preserve">1.1.9. Deverá ser garantida a compatibilidade plena dos equipamentos fornecidos com os subsistemas de armazenamento e as HBAs </w:t>
            </w:r>
            <w:r w:rsidRPr="00A16611">
              <w:rPr>
                <w:rFonts w:ascii="Arial" w:hAnsi="Arial" w:cs="Arial"/>
                <w:i/>
                <w:sz w:val="22"/>
                <w:szCs w:val="22"/>
              </w:rPr>
              <w:t>(“Host Bus Adapter”)</w:t>
            </w:r>
            <w:r w:rsidRPr="00A16611">
              <w:rPr>
                <w:rFonts w:ascii="Arial" w:hAnsi="Arial" w:cs="Arial"/>
                <w:sz w:val="22"/>
                <w:szCs w:val="22"/>
              </w:rPr>
              <w:t xml:space="preserve"> listadas, </w:t>
            </w:r>
            <w:r w:rsidRPr="00A16611">
              <w:rPr>
                <w:rFonts w:ascii="Arial" w:hAnsi="Arial" w:cs="Arial"/>
                <w:sz w:val="22"/>
                <w:szCs w:val="22"/>
              </w:rPr>
              <w:lastRenderedPageBreak/>
              <w:t>respectivamente, nos subitens 1.5.1.1 e 1.5.1.2 desta Tabela, com comprovação por meio de:</w:t>
            </w:r>
          </w:p>
          <w:p w:rsidR="00CB10E5" w:rsidRPr="00A16611" w:rsidRDefault="00CB10E5" w:rsidP="00F76EA7">
            <w:pPr>
              <w:jc w:val="both"/>
              <w:rPr>
                <w:rFonts w:ascii="Arial" w:hAnsi="Arial" w:cs="Arial"/>
                <w:sz w:val="22"/>
                <w:szCs w:val="22"/>
              </w:rPr>
            </w:pPr>
            <w:r w:rsidRPr="00A16611">
              <w:rPr>
                <w:rFonts w:ascii="Arial" w:hAnsi="Arial" w:cs="Arial"/>
                <w:sz w:val="22"/>
                <w:szCs w:val="22"/>
              </w:rPr>
              <w:t>a) matriz de compatibilidade do fabricante desses equipamentos; ou</w:t>
            </w:r>
          </w:p>
          <w:p w:rsidR="00CB10E5" w:rsidRPr="00A16611" w:rsidRDefault="00CB10E5" w:rsidP="00F76EA7">
            <w:pPr>
              <w:jc w:val="both"/>
              <w:rPr>
                <w:rFonts w:ascii="Arial" w:hAnsi="Arial" w:cs="Arial"/>
                <w:sz w:val="22"/>
                <w:szCs w:val="22"/>
              </w:rPr>
            </w:pPr>
            <w:r w:rsidRPr="00A16611">
              <w:rPr>
                <w:rFonts w:ascii="Arial" w:hAnsi="Arial" w:cs="Arial"/>
                <w:sz w:val="22"/>
                <w:szCs w:val="22"/>
              </w:rPr>
              <w:t>b) matriz de compatibilidade ou declaração formal do fabricante dos switches oferecidos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16611" w:rsidRDefault="00CB10E5" w:rsidP="00F76EA7">
            <w:pPr>
              <w:jc w:val="both"/>
              <w:rPr>
                <w:rFonts w:ascii="Arial" w:hAnsi="Arial" w:cs="Arial"/>
                <w:sz w:val="22"/>
                <w:szCs w:val="22"/>
              </w:rPr>
            </w:pPr>
            <w:r w:rsidRPr="00A16611">
              <w:rPr>
                <w:rFonts w:ascii="Arial" w:hAnsi="Arial" w:cs="Arial"/>
                <w:sz w:val="22"/>
                <w:szCs w:val="22"/>
              </w:rPr>
              <w:t>1.2. Requisitos tecnológicos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16611" w:rsidRDefault="00CB10E5" w:rsidP="00F76EA7">
            <w:pPr>
              <w:jc w:val="both"/>
              <w:rPr>
                <w:rFonts w:ascii="Arial" w:hAnsi="Arial" w:cs="Arial"/>
                <w:sz w:val="22"/>
                <w:szCs w:val="22"/>
              </w:rPr>
            </w:pPr>
            <w:r w:rsidRPr="00A16611">
              <w:rPr>
                <w:rFonts w:ascii="Arial" w:hAnsi="Arial" w:cs="Arial"/>
                <w:sz w:val="22"/>
                <w:szCs w:val="22"/>
              </w:rPr>
              <w:t xml:space="preserve"> 1.2.1. Cada switch terá, no mínimo, 192 (cento e noventa e duas) portas livres, independentes, ativas e licenciadas, distribuídas em 4 (quatro) lâminas de portas, considerando, ainda, para cada switch:</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16611" w:rsidRDefault="00CB10E5" w:rsidP="00F76EA7">
            <w:pPr>
              <w:jc w:val="both"/>
              <w:rPr>
                <w:rFonts w:ascii="Arial" w:hAnsi="Arial" w:cs="Arial"/>
                <w:sz w:val="22"/>
                <w:szCs w:val="22"/>
              </w:rPr>
            </w:pPr>
            <w:r w:rsidRPr="00A16611">
              <w:rPr>
                <w:rFonts w:ascii="Arial" w:hAnsi="Arial" w:cs="Arial"/>
                <w:sz w:val="22"/>
                <w:szCs w:val="22"/>
              </w:rPr>
              <w:t xml:space="preserve">a) </w:t>
            </w:r>
            <w:proofErr w:type="gramStart"/>
            <w:r w:rsidRPr="00A16611">
              <w:rPr>
                <w:rFonts w:ascii="Arial" w:hAnsi="Arial" w:cs="Arial"/>
                <w:sz w:val="22"/>
                <w:szCs w:val="22"/>
              </w:rPr>
              <w:t>chassis único</w:t>
            </w:r>
            <w:proofErr w:type="gramEnd"/>
            <w:r w:rsidRPr="00A16611">
              <w:rPr>
                <w:rFonts w:ascii="Arial" w:hAnsi="Arial" w:cs="Arial"/>
                <w:sz w:val="22"/>
                <w:szCs w:val="22"/>
              </w:rPr>
              <w:t>, da classe director, com arquitetura baseada em lâminas de portas independentes;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16611" w:rsidRDefault="00CB10E5" w:rsidP="00F76EA7">
            <w:pPr>
              <w:jc w:val="both"/>
              <w:rPr>
                <w:rFonts w:ascii="Arial" w:hAnsi="Arial" w:cs="Arial"/>
                <w:sz w:val="22"/>
                <w:szCs w:val="22"/>
              </w:rPr>
            </w:pPr>
            <w:r w:rsidRPr="00A16611">
              <w:rPr>
                <w:rFonts w:ascii="Arial" w:hAnsi="Arial" w:cs="Arial"/>
                <w:sz w:val="22"/>
                <w:szCs w:val="22"/>
              </w:rPr>
              <w:t>b) arquitetura modular, com todos os componentes ativos totalmente redundantes e “hot-swapable” (componentes podem ser substituídos com o switch em funcionamento), incluindo fontes de alimentação, ventiladores, placas de processamento, lâminas de portas e portas, possibilitando a realização de atividades de manutenção sem indisponibilidade de serviço, viabilizando ainda que, em caso de falha em algum destes componentes, nenhum serviço oferecido pelos equipamentos conectados aos switches fique indisponível;</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16611" w:rsidRDefault="00CB10E5" w:rsidP="00F76EA7">
            <w:pPr>
              <w:jc w:val="both"/>
              <w:rPr>
                <w:rFonts w:ascii="Arial" w:hAnsi="Arial" w:cs="Arial"/>
                <w:sz w:val="22"/>
                <w:szCs w:val="22"/>
              </w:rPr>
            </w:pPr>
            <w:r w:rsidRPr="00A16611">
              <w:rPr>
                <w:rFonts w:ascii="Arial" w:hAnsi="Arial" w:cs="Arial"/>
                <w:sz w:val="22"/>
                <w:szCs w:val="22"/>
              </w:rPr>
              <w:t>c) largura de banda agregada de, no mínimo, 11.000 (onze mil) Gbps full duplex;</w:t>
            </w:r>
            <w:r w:rsidRPr="00A16611">
              <w:rPr>
                <w:rStyle w:val="Refdenotaderodap"/>
                <w:rFonts w:ascii="Arial" w:hAnsi="Arial" w:cs="Arial"/>
                <w:sz w:val="22"/>
                <w:szCs w:val="22"/>
              </w:rPr>
              <w:footnoteReference w:id="1"/>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16611" w:rsidRDefault="00CB10E5" w:rsidP="00F76EA7">
            <w:pPr>
              <w:jc w:val="both"/>
              <w:rPr>
                <w:rFonts w:ascii="Arial" w:hAnsi="Arial" w:cs="Arial"/>
                <w:sz w:val="22"/>
                <w:szCs w:val="22"/>
              </w:rPr>
            </w:pPr>
            <w:r w:rsidRPr="00A16611">
              <w:rPr>
                <w:rFonts w:ascii="Arial" w:hAnsi="Arial" w:cs="Arial"/>
                <w:sz w:val="22"/>
                <w:szCs w:val="22"/>
              </w:rPr>
              <w:t>d) portas redundantes padrão Gigabit Ethernet 100/1000, RJ-45, para atividades de administração e gerenciamento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16611" w:rsidRDefault="00CB10E5" w:rsidP="00F76EA7">
            <w:pPr>
              <w:jc w:val="both"/>
              <w:rPr>
                <w:rFonts w:ascii="Arial" w:hAnsi="Arial" w:cs="Arial"/>
                <w:sz w:val="22"/>
                <w:szCs w:val="22"/>
              </w:rPr>
            </w:pPr>
            <w:r w:rsidRPr="00A16611">
              <w:rPr>
                <w:rFonts w:ascii="Arial" w:hAnsi="Arial" w:cs="Arial"/>
                <w:sz w:val="22"/>
                <w:szCs w:val="22"/>
              </w:rPr>
              <w:t xml:space="preserve">1.2.2. Todos os switches deverão ter o mesmo número de lâminas de portas </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1.2.2.1. Todas as lâminas de portas deverão ter capacidade de tráfego na velocidade nominal, sem contenção (oversubscription), mesmo com a utilização simultânea de todas as portas, viabilizando operação de todas as portas em “line-rate”</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1.2.2.2. Largura de banda máxima de, no mínimo, 3.072 (três mil e setenta e dois) Gbps por lâmina de 48 (quarenta e oito) portas</w:t>
            </w:r>
            <w:r w:rsidRPr="006047F3">
              <w:rPr>
                <w:rStyle w:val="Refdenotaderodap"/>
                <w:rFonts w:ascii="Arial" w:hAnsi="Arial" w:cs="Arial"/>
                <w:sz w:val="22"/>
                <w:szCs w:val="22"/>
              </w:rPr>
              <w:footnoteReference w:id="2"/>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1.2.2.3. Cada lâmina de portas deverá ter, no máximo, 48 (quarenta e oito) portas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1.2.2.4. Todas as lâminas de portas devem suportar SFPs de 64 (sessenta e quatro) Gbps (provendo velocidades de 64 Gbps, 32 GBps e 16 Gbps) e de 32 (trinta e dois) Gbps (provendo velocidades de 32 Gbps, 18 GBps e 8 Gbps), com detecção automática de velocidade</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lastRenderedPageBreak/>
              <w:t>1.2.2.5. Implementar, no mínimo, 24.000 (vinte e quatro mil) “buffer credits” por lâmina de 48 (quarenta e oito) portas, com funcionalidade de alocação de “buffer credits” para portas específicas de ISL de longa distância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1.2.3. Viabilizar a criação de, no mínimo, 4 (quatro) divisões lógicas (virtual fabric e/ou VSAN), de forma que as configurações e serviços de fabric (fabric services) permaneçam isolados e independentes em cada virtual fabric e/ou VSAN</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1.2.4. Possuir recursos de QoS (Quality of Service) para priorizar determinadas “virtual fabrics”, vSANs ou elementos de “zoning” em detrimento de outras, com recursos para definição de, no mínimo, 2 (dois) níveis de prioridade, que assegurem um percentual de banda disponível para cada nível configurado, em caso de concorrência de tráfego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1.2.5. A totalidade das portas de cada switch será assim distribuída: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a) 136 (cento e trinta e seis) portas com conectores do tipo SFP+ instalados, do tipo short-wave, multimodo, hot-swappable, tipo LC, operando à velocidade de, no mínimo, 64 (sessenta e quatro) Gbps full duplex, tendo ainda conectividade às velocidades de 32 (trinta e dois) Gbps e 16 (dezesseis), com detecção automática de velocidade, destinadas à conexão de servidores e subsistemas de armazenamento;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b) 40 (quarenta) portas com conectores do tipo SFP+ instalados, do tipo short-wave, multimodo, hot-swappable, tipo LC, operando à velocidade de, no mínimo, 32 (trinta e dois) Gbps full duplex, tendo ainda conectividade às velocidades de 16 (dezesseis) Gbps e de 8 (oito), com detecção automática de velocidade, destinadas à conexão fitotecas robotizadas;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 xml:space="preserve">c) 16 (dezesseis) portas com conectores do tipo SFP+ instalados, do tipo long-wave, monomodo, hot-swappable, tipo LC, operando à velocidade de, no mínimo, 64 (sessenta e quatro) Gbps full duplex, tendo ainda conectividade às velocidades de 32 (trinta e dois) Gbps full duplex e de 16 (dezesseis) Gbps, suportando distância mínima de 2.479 (dois mil quatrocentos e setenta e nove) metros, com detecção automática de velocidade, destinadas aos ISLs remotos </w:t>
            </w:r>
            <w:r w:rsidRPr="006047F3">
              <w:rPr>
                <w:rStyle w:val="Refdenotaderodap"/>
                <w:rFonts w:ascii="Arial" w:hAnsi="Arial" w:cs="Arial"/>
                <w:sz w:val="22"/>
                <w:szCs w:val="22"/>
              </w:rPr>
              <w:footnoteReference w:id="3"/>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1.2.6. Deverão ser fornecidos com os equipamentos: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1.2.6.1. Cordões ópticos, do tipo multimodo, diâmetro de 50 (cinquenta) mícrons com conectores compatíveis com os SFPs das portas descritas nas alíneas “a” e “b” do subitem 1.2.5 desta Tabela, considerando: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a) mínimo de 223 (duzentos e vinte e três) cordões com comprimento de 15 (quinze) metros cada;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b) mínimo de 223 (duzentos e vinte e três) cordões com comprimento de 20 (vinte) metros cada;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lastRenderedPageBreak/>
              <w:t>c) mínimo de 56 (cinquenta e seis) cordões com comprimento de 25 (vinte e cinco) metros cada;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d) mínimo de 56 (cinquenta e seis) cordões com comprimento de 30 (trinta) metros cada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 xml:space="preserve">1.2.6.2. Mínimo de 64 (sessenta e quatro) cordões ópticos com comprimento de 20 (vinte) metros cada, do tipo monomodo, diâmetro de 9 (nove) mícrons, com conectores com os SFPs das portas especificadas na alínea “c” do subitem 1.2.5 desta Tabela, destinados à ligação dos switches </w:t>
            </w:r>
            <w:proofErr w:type="gramStart"/>
            <w:r w:rsidRPr="006047F3">
              <w:rPr>
                <w:rFonts w:ascii="Arial" w:hAnsi="Arial" w:cs="Arial"/>
                <w:sz w:val="22"/>
                <w:szCs w:val="22"/>
              </w:rPr>
              <w:t>aos “patch</w:t>
            </w:r>
            <w:proofErr w:type="gramEnd"/>
            <w:r w:rsidRPr="006047F3">
              <w:rPr>
                <w:rFonts w:ascii="Arial" w:hAnsi="Arial" w:cs="Arial"/>
                <w:sz w:val="22"/>
                <w:szCs w:val="22"/>
              </w:rPr>
              <w:t xml:space="preserve"> panels” de interconexão entre datacenters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1.2.6.2.1. Os quadros de “patch panel” e as interconexões entre o CETEC Norte e CETEC Sul são de responsabilidade da Contratante</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1.2.7. Todos os cordões ópticos duplex deverão ter as seguintes características: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1.2.7.1. Constituídos por fibras ópticas do tipo OM5 de 50/125 micrômetros e padrão zip-cord de reunião das fibras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1.2.7.2. Conectores LC/LC (Lucent Connector) duplex, com ferrolho em material cerâmico do tipo LC e polimento UPC</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1.2.7.3. Possuir impresso na capa externa o nome do fabricante e identificação do produto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1.2.7.4. Revestimento secundário termoplástico não propagante à chama (classe FRLSZH)</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1.2.7.5. Possuir certificação ANATEL e estar de acordo com as normas ABNT NBR 14106 / ABNT NBR 14433 ou mais recentes, ou ainda que atendam a normas técnicas equivalentes, como a normas internacionais (tais como, ISO e IEC), desde que fique demonstrado o atendimento aos mesmos requisitos técnicos e de desempenho das normas da ABNT</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6047F3" w:rsidRDefault="00CB10E5" w:rsidP="00F76EA7">
            <w:pPr>
              <w:jc w:val="both"/>
              <w:rPr>
                <w:rFonts w:ascii="Arial" w:hAnsi="Arial" w:cs="Arial"/>
                <w:sz w:val="22"/>
                <w:szCs w:val="22"/>
              </w:rPr>
            </w:pPr>
            <w:r w:rsidRPr="006047F3">
              <w:rPr>
                <w:rFonts w:ascii="Arial" w:hAnsi="Arial" w:cs="Arial"/>
                <w:sz w:val="22"/>
                <w:szCs w:val="22"/>
              </w:rPr>
              <w:t>1.2.7.6. As extremidades do cordão óptico deverão ser entregues devidamente conectorizadas e testadas de fábrica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1.2.7.7. Os cordões deverão ser entregues em embalagem original de fábrica, com a identificação e a quantidade do material e dados do fabricante impressos na embalagem</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1.2.8. Implementar ISLs remotos entre os switches fornecidos, utilizando as portas especificadas na alínea “c” do subitem 1.2.5 desta Tabela, com agregação de portas (ou trunking), composta de, no mínimo, 8 (oito) portas por agregação, provendo velocidade agregada de, no mínimo, 512 (quinhentos e doze) Gbps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1.2.9. Possuir suporte nativo às seguintes classes de serviços: “Class 2”, “Class 3” e “Class F”</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1.2.10. Suportar configuração para operação nos regimes F port (fabric port) e E_port (expansion port)</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1.2.11. Suporte a NVMe over Fibre Channel (FC-NVMe)</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 xml:space="preserve">1.2.12. Suportar os serviços Fabric: Name Server, Registered State Change Notification, Zoning (ou equivalente), FSPF (Fabric Shortest Path First); ISL Trunking ou equivalente; NPIV </w:t>
            </w:r>
            <w:r w:rsidRPr="00AB7AE7">
              <w:rPr>
                <w:rFonts w:ascii="Arial" w:hAnsi="Arial" w:cs="Arial"/>
                <w:sz w:val="22"/>
                <w:szCs w:val="22"/>
              </w:rPr>
              <w:lastRenderedPageBreak/>
              <w:t>(N_Port ID Virtualization); NTP; QoS (quality of service) e Virtual Fabrics ou VSAN</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1.2.13. Suportar as tecnologias: AES encription; DH-CHAP; Fabric Configuration Server (FCS); switch authentication (FCAP ou FC-SP1); HTTPS; IP filtering; LDAP; OpenLDAP; RADIUS; Role-Based Access Control (RBAC); Secure Boot; Secure Copy (SCP); SFTP; SSH v2; TACACS+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1.2.14. Suportar, no mínimo, 105 (cento e cinco) conexões lógicas (“logins”) de NPIV (N_Port ID Virtualization) por switch físico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1.2.15. Capacidade de até 6.000 (seis mil) devices (Targets, Initiators ou NPIV/NPV) conectados por switch físico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1.2.16. Manter compatibilidade com os seguintes protocolos (ou versões superiores): FC-GS-8; FC-SW-7; FC-TAPE; FC-VI; FC-DA-2, FC-MI-3; FC-BB-5; FCP-4; FC-GS-8; FC-SW-7; FC-Tape; FC-VI; FC-PI-7; FC-FS-5, FC-LS-4; FC-BB-5 e FC-NVMe-2</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1.2.17. Suportar protocolo IBM FICON</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1.2.18. Possuir detecção de erros e isolamento de falhas de componentes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1.2.19. Suportar a atualização e carga de micro-código (firmware), sem interrupção dos serviços fornecidos pelo equipamento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1.2.20. Possuir funcionalidades de inicialização segura (“secure boot”)</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1.2.21. Possuir mecanismos de zoning por endereço WWPN (World Wide Port Name) e por porta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1.2.22. Possuir recurso de call-home para o fabricante, abrangendo todos os equipamentos instalados, utilizando e-mail, VPN ou HTTPS para notificação do suporte</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1.2.22.1. Esta função deverá estar disponível 24 (vinte e quatro) horas por dia e 7 (sete) dias por semana, proporcionando atuação proativa na ocorrência de incidentes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1.2.22.2. Os dispositivos necessários para a instalação e execução desta funcionalidade são de responsabilidade do proponente, à exceção do relay de e-mail e conexão à internet</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 Requisitos Físicos e Elétricos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1.3.1. Deverão ser fornecidos 4 (quatro) racks para hospedagem física dos equipamentos fornecidos, sendo 2 (dois) deles para o CETEC Norte e os outros 2 (dois) para o CETEC Sul, com as seguintes características: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1.3.1.1. Padrão 19 (dezenove) polegadas, com dimensões e configuração que atendam plenamente as necessidades dos switches propostos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1.3.1.2. Portas frontal e traseira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1.3.1.3. PDUs (unidades de distribuição de energia) com tomadas para alimentação elétrica dos equipamentos, com entradas redundantes de energia elétrica em 220 (duzentos e vinte) Volts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lastRenderedPageBreak/>
              <w:t>1.3.1.4. Deverão ser fornecidos todos os componentes adicionais necessários para instalação dos equipamentos nos racks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1.3.1.5. O fluxo de ar dos equipamentos deverá ser da frente (lado das portas FC) para trás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1.3.2. A alimentação elétrica dos equipamentos será em 220 (duzentos e vinte) Volts fase-neutro e 60 (sessenta) Hertz, em circuitos monofásicos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1.3.3. Possuir tomadas organizadas em unidades de distribuição de força que atendam a todos os equipamentos a serem instalados nos racks, com, no mínimo, 2 (dois) circuitos independentes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1.3.4. Deverão ser fornecidos os conectores macho e fêmea, além das tomadas elétricas para os equipamentos, visando à alimentação elétrica por 2 (duas) fontes de energia independentes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1.3.5. A solução de alimentação deverá ser redundante por fontes internas e demais componentes independentes, de tal forma que, em caso de falha de um dos elementos da solução, por defeito ou por falta de alimentação elétrica em um dos 2 (dois) circuitos, o equipamento continue a funcionar sem prejuízo aos serviços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1.3.6. Possuir redundância para fontes de alimentação, do tipo hot-pluggable, que trabalhe, no mínimo, no esquema N+1, com cabos de força independentes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1.3.7. A licitante deverá se certificar de todas as condições físicas (elétricas, ar-condicionado e ambientais) de instalação dos equipamentos, conforme padrões estabelecidos pelo fabricante e com base nas informações levantadas na vistoria prévia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1.4. Requisitos de Gerenciamento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numPr>
                <w:ilvl w:val="2"/>
                <w:numId w:val="5"/>
              </w:numPr>
              <w:suppressAutoHyphens/>
              <w:ind w:left="0" w:firstLine="0"/>
              <w:jc w:val="both"/>
              <w:rPr>
                <w:rFonts w:ascii="Arial" w:hAnsi="Arial" w:cs="Arial"/>
                <w:sz w:val="22"/>
                <w:szCs w:val="22"/>
              </w:rPr>
            </w:pPr>
            <w:r w:rsidRPr="00AB7AE7">
              <w:rPr>
                <w:rFonts w:ascii="Arial" w:hAnsi="Arial" w:cs="Arial"/>
                <w:sz w:val="22"/>
                <w:szCs w:val="22"/>
              </w:rPr>
              <w:t>Possuir software de gerenciamento e administração da Rede de Armazenamento, com capacidade de gerenciamento integrado e centralizado dos equipamentos fornecidos, com, no mínimo, 2 (dois) “fabrics” ao mesmo tempo, contemplando gerenciamento de desempenho, gerenciamento de falhas e gerenciamento de segurança, incluindo as características a seguir:</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1.4.1.1. Console para gerenciamento por meio de interface gráfica e por meio de linha de comando (CLI)</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1.4.1.2. Funções para descoberta de fabrics, criação de mapas de topologia e criação de listas de equipamentos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1.4.1.3. Apresentação dos mapas de topologia com visualização gráfica e monitoração de todos os switches da rede de armazenamento fornecida, com visões múltiplas, mostrando níveis de detalhamento progressivo com informações sobre equipamentos, portas e eventos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1.4.1.4. Monitoramento de portas da rede com apresentação de dados de desempenho e falhas, em tempo real e históricos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t>1.4.1.5. Exibição de condições de erro de portas e erros CRC</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B7AE7" w:rsidRDefault="00CB10E5" w:rsidP="00F76EA7">
            <w:pPr>
              <w:jc w:val="both"/>
              <w:rPr>
                <w:rFonts w:ascii="Arial" w:hAnsi="Arial" w:cs="Arial"/>
                <w:sz w:val="22"/>
                <w:szCs w:val="22"/>
              </w:rPr>
            </w:pPr>
            <w:r w:rsidRPr="00AB7AE7">
              <w:rPr>
                <w:rFonts w:ascii="Arial" w:hAnsi="Arial" w:cs="Arial"/>
                <w:sz w:val="22"/>
                <w:szCs w:val="22"/>
              </w:rPr>
              <w:lastRenderedPageBreak/>
              <w:t>1.4.1.6. Recursos de isolamento de falhas, testes automatizados e diagnóstico proativo dos equipamentos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1.4.1.7. Configuração de recebimento de alertas pelo administrador, para eventos ou condições de erro, via SNMP ou e-mail</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1.4.1.8. Configuração de “zoning” de forma global, por meio de software único, para toda a rede de armazenamento, viabilizando, no mínimo, 8 (oito) “fabrics virtuais” independentes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1.4.1.9. Atualização do firmware dos switches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1.4.1.10. Gerenciamento, administração e operação da funcionalidade de agregação de portas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1.4.1.11. Gerenciamento via protocolo SNMP, com MIBs de performance e alertas SNMP para console de gerenciamento centralizada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1.4.1.12. Recursos de integração com a plataforma de virtualização VMWare vCenter</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1.4.1.13. Geração de logs para todos os eventos relacionados à rede SAN, sejam eles de falhas ou configurações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1.4.1.14. Verificação de erros físicos e lógicos das portas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1.4.1.15. Detecção de latência e congestionamento nas portas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 xml:space="preserve">1.4.1.16. Recursos para monitoramento e análise do desempenho instantâneo e histórico do equipamento com: </w:t>
            </w:r>
          </w:p>
          <w:p w:rsidR="00CB10E5" w:rsidRPr="00AF7CDD" w:rsidRDefault="00CB10E5" w:rsidP="00F76EA7">
            <w:pPr>
              <w:jc w:val="both"/>
              <w:rPr>
                <w:rFonts w:ascii="Arial" w:hAnsi="Arial" w:cs="Arial"/>
                <w:sz w:val="22"/>
                <w:szCs w:val="22"/>
              </w:rPr>
            </w:pPr>
            <w:r w:rsidRPr="00AF7CDD">
              <w:rPr>
                <w:rFonts w:ascii="Arial" w:hAnsi="Arial" w:cs="Arial"/>
                <w:sz w:val="22"/>
                <w:szCs w:val="22"/>
              </w:rPr>
              <w:t>a) plotagem mínima para desempenho instantâneo de 3 (três) amostras por minuto;</w:t>
            </w:r>
          </w:p>
          <w:p w:rsidR="00CB10E5" w:rsidRPr="00AF7CDD" w:rsidRDefault="00CB10E5" w:rsidP="00F76EA7">
            <w:pPr>
              <w:jc w:val="both"/>
              <w:rPr>
                <w:rFonts w:ascii="Arial" w:hAnsi="Arial" w:cs="Arial"/>
                <w:sz w:val="22"/>
                <w:szCs w:val="22"/>
              </w:rPr>
            </w:pPr>
            <w:r w:rsidRPr="00AF7CDD">
              <w:rPr>
                <w:rFonts w:ascii="Arial" w:hAnsi="Arial" w:cs="Arial"/>
                <w:sz w:val="22"/>
                <w:szCs w:val="22"/>
              </w:rPr>
              <w:t>b) retenção de, no mínimo, 1 (uma) amostra a cada 60 (sessenta) minutos, para análise histórica, por período mínimo de 30 (trinta) dias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1.4.1.17. Contemplar em ambos os casos, no mínimo, as informações de:</w:t>
            </w:r>
          </w:p>
          <w:p w:rsidR="00CB10E5" w:rsidRPr="00AF7CDD" w:rsidRDefault="00CB10E5" w:rsidP="00F76EA7">
            <w:pPr>
              <w:jc w:val="both"/>
              <w:rPr>
                <w:rFonts w:ascii="Arial" w:hAnsi="Arial" w:cs="Arial"/>
                <w:sz w:val="22"/>
                <w:szCs w:val="22"/>
              </w:rPr>
            </w:pPr>
            <w:r w:rsidRPr="00AF7CDD">
              <w:rPr>
                <w:rFonts w:ascii="Arial" w:hAnsi="Arial" w:cs="Arial"/>
                <w:sz w:val="22"/>
                <w:szCs w:val="22"/>
              </w:rPr>
              <w:t>a) taxas de utilização das portas;</w:t>
            </w:r>
          </w:p>
          <w:p w:rsidR="00CB10E5" w:rsidRPr="00AF7CDD" w:rsidRDefault="00CB10E5" w:rsidP="00F76EA7">
            <w:pPr>
              <w:jc w:val="both"/>
              <w:rPr>
                <w:rFonts w:ascii="Arial" w:hAnsi="Arial" w:cs="Arial"/>
                <w:sz w:val="22"/>
                <w:szCs w:val="22"/>
              </w:rPr>
            </w:pPr>
            <w:r w:rsidRPr="00AF7CDD">
              <w:rPr>
                <w:rFonts w:ascii="Arial" w:hAnsi="Arial" w:cs="Arial"/>
                <w:sz w:val="22"/>
                <w:szCs w:val="22"/>
              </w:rPr>
              <w:t>b) capacidade de processamento dos switches;</w:t>
            </w:r>
          </w:p>
          <w:p w:rsidR="00CB10E5" w:rsidRPr="00AF7CDD" w:rsidRDefault="00CB10E5" w:rsidP="00F76EA7">
            <w:pPr>
              <w:jc w:val="both"/>
              <w:rPr>
                <w:rFonts w:ascii="Arial" w:hAnsi="Arial" w:cs="Arial"/>
                <w:sz w:val="22"/>
                <w:szCs w:val="22"/>
              </w:rPr>
            </w:pPr>
            <w:r w:rsidRPr="00AF7CDD">
              <w:rPr>
                <w:rFonts w:ascii="Arial" w:hAnsi="Arial" w:cs="Arial"/>
                <w:sz w:val="22"/>
                <w:szCs w:val="22"/>
              </w:rPr>
              <w:t>c) erros e pacotes descartados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1.4.1.18. Monitoramento de tráfego fim a fim entre pontos específicos da rede de armazenamento (fluxo entre “initiator” e “target”)</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1.4.1.19. Recursos gráficos de avaliação de tendências de tráfego e desempenho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1.4.1.20. Suporte ao protocolo SNMP v3 para gerenciamento e para envio de alertas para a console de gerenciamento centralizada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1.4.1.21. Notificação de eventos críticos, pré-falhas e falhas ao administrador, além de geração de relatórios configuráveis para os eventos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1.4.1.22. Viabilizar a criação de alarmes baseados na monitoração de desempenho</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1.4.1.23. Autenticação de usuários e definição de perfis distintos de permissões por meio de cadastramento de usuários no equipamento ou por meio de integração com o Active Directory da Microsoft</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lastRenderedPageBreak/>
              <w:t>1.4.1.24. Criação de, no mínimo, 2 (dois) perfis de usuários distintos, com atribuições (roles) específicas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1.4.1.25. A solução de gerenciamento deverá ser instalada:</w:t>
            </w:r>
          </w:p>
          <w:p w:rsidR="00CB10E5" w:rsidRPr="00AF7CDD" w:rsidRDefault="00CB10E5" w:rsidP="00F76EA7">
            <w:pPr>
              <w:jc w:val="both"/>
              <w:rPr>
                <w:rFonts w:ascii="Arial" w:hAnsi="Arial" w:cs="Arial"/>
                <w:sz w:val="22"/>
                <w:szCs w:val="22"/>
              </w:rPr>
            </w:pPr>
            <w:r w:rsidRPr="00AF7CDD">
              <w:rPr>
                <w:rFonts w:ascii="Arial" w:hAnsi="Arial" w:cs="Arial"/>
                <w:sz w:val="22"/>
                <w:szCs w:val="22"/>
              </w:rPr>
              <w:t>a) na existente infraestrutura de virtualização VMware da Contratante, que faz uso de Red Hat Linux 7 e de Microsoft Windows Server 2019; ou</w:t>
            </w:r>
          </w:p>
          <w:p w:rsidR="00CB10E5" w:rsidRPr="00AF7CDD" w:rsidRDefault="00CB10E5" w:rsidP="00F76EA7">
            <w:pPr>
              <w:jc w:val="both"/>
              <w:rPr>
                <w:rFonts w:ascii="Arial" w:hAnsi="Arial" w:cs="Arial"/>
                <w:sz w:val="22"/>
                <w:szCs w:val="22"/>
              </w:rPr>
            </w:pPr>
            <w:r w:rsidRPr="00AF7CDD">
              <w:rPr>
                <w:rFonts w:ascii="Arial" w:hAnsi="Arial" w:cs="Arial"/>
                <w:sz w:val="22"/>
                <w:szCs w:val="22"/>
              </w:rPr>
              <w:t>b) em appliance virtual (“ova”) compatível, a ser fornecido pela Contratada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1.4.1.26. A solução de gerenciamento deverá ter acesso controlado, por meio de conexão segura, utilizando sempre protocolos seguros como SSH e/ou HTTPS</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1.5. Da Infraestrutura Existente</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1.5.1. A infraestrutura atualmente em produção na Contratante, a ser conectada na nova rede, inclui, entre outros, os equipamentos a seguir:</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tcPr>
          <w:p w:rsidR="00CB10E5" w:rsidRPr="00AF7CDD" w:rsidRDefault="00CB10E5" w:rsidP="00F76EA7">
            <w:pPr>
              <w:jc w:val="both"/>
              <w:rPr>
                <w:rFonts w:ascii="Arial" w:hAnsi="Arial" w:cs="Arial"/>
                <w:sz w:val="22"/>
                <w:szCs w:val="22"/>
              </w:rPr>
            </w:pPr>
            <w:r w:rsidRPr="00AF7CDD">
              <w:rPr>
                <w:rFonts w:ascii="Arial" w:hAnsi="Arial" w:cs="Arial"/>
                <w:sz w:val="22"/>
                <w:szCs w:val="22"/>
              </w:rPr>
              <w:t>1.5.1.1. Subsistemas de armazenamento híbridos e all-flash, conectados à rede de armazenamento por meio de portas FC de 8 Gbps, de 16 Gbps e de 32 Gbps:</w:t>
            </w:r>
          </w:p>
          <w:p w:rsidR="00CB10E5" w:rsidRPr="00AF7CDD" w:rsidRDefault="00CB10E5" w:rsidP="00F76EA7">
            <w:pPr>
              <w:rPr>
                <w:rFonts w:ascii="Arial" w:hAnsi="Arial" w:cs="Arial"/>
                <w:sz w:val="22"/>
                <w:szCs w:val="22"/>
              </w:rPr>
            </w:pPr>
            <w:r w:rsidRPr="00AF7CDD">
              <w:rPr>
                <w:rFonts w:ascii="Arial" w:hAnsi="Arial" w:cs="Arial"/>
                <w:sz w:val="22"/>
                <w:szCs w:val="22"/>
              </w:rPr>
              <w:t>a) Huawei Oceanstor Dorado 6000 V6;</w:t>
            </w:r>
          </w:p>
          <w:p w:rsidR="00CB10E5" w:rsidRPr="00AF7CDD" w:rsidRDefault="00CB10E5" w:rsidP="00F76EA7">
            <w:pPr>
              <w:rPr>
                <w:rFonts w:ascii="Arial" w:hAnsi="Arial" w:cs="Arial"/>
                <w:sz w:val="22"/>
                <w:szCs w:val="22"/>
              </w:rPr>
            </w:pPr>
            <w:r w:rsidRPr="00AF7CDD">
              <w:rPr>
                <w:rFonts w:ascii="Arial" w:hAnsi="Arial" w:cs="Arial"/>
                <w:sz w:val="22"/>
                <w:szCs w:val="22"/>
              </w:rPr>
              <w:t>b) Huawei Oceanstor 5600;</w:t>
            </w:r>
          </w:p>
          <w:p w:rsidR="00CB10E5" w:rsidRPr="00AF7CDD" w:rsidRDefault="00CB10E5" w:rsidP="00F76EA7">
            <w:pPr>
              <w:rPr>
                <w:rFonts w:ascii="Arial" w:hAnsi="Arial" w:cs="Arial"/>
                <w:sz w:val="22"/>
                <w:szCs w:val="22"/>
              </w:rPr>
            </w:pPr>
            <w:r w:rsidRPr="00AF7CDD">
              <w:rPr>
                <w:rFonts w:ascii="Arial" w:hAnsi="Arial" w:cs="Arial"/>
                <w:sz w:val="22"/>
                <w:szCs w:val="22"/>
              </w:rPr>
              <w:t>c) Huawei Oceanstor 18500;</w:t>
            </w:r>
          </w:p>
          <w:p w:rsidR="00CB10E5" w:rsidRPr="00AF7CDD" w:rsidRDefault="00CB10E5" w:rsidP="00F76EA7">
            <w:pPr>
              <w:rPr>
                <w:rFonts w:ascii="Arial" w:hAnsi="Arial" w:cs="Arial"/>
                <w:sz w:val="22"/>
                <w:szCs w:val="22"/>
              </w:rPr>
            </w:pPr>
            <w:r w:rsidRPr="00AF7CDD">
              <w:rPr>
                <w:rFonts w:ascii="Arial" w:hAnsi="Arial" w:cs="Arial"/>
                <w:sz w:val="22"/>
                <w:szCs w:val="22"/>
              </w:rPr>
              <w:t>d) Hitachi VSP 5600;</w:t>
            </w:r>
          </w:p>
          <w:p w:rsidR="00CB10E5" w:rsidRPr="00AF7CDD" w:rsidRDefault="00CB10E5" w:rsidP="00F76EA7">
            <w:pPr>
              <w:jc w:val="both"/>
              <w:rPr>
                <w:rFonts w:ascii="Arial" w:hAnsi="Arial" w:cs="Arial"/>
                <w:sz w:val="22"/>
                <w:szCs w:val="22"/>
              </w:rPr>
            </w:pPr>
            <w:r w:rsidRPr="00AF7CDD">
              <w:rPr>
                <w:rFonts w:ascii="Arial" w:hAnsi="Arial" w:cs="Arial"/>
                <w:sz w:val="22"/>
                <w:szCs w:val="22"/>
              </w:rPr>
              <w:t>e) Hitachi VSP G700.</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vAlign w:val="center"/>
          </w:tcPr>
          <w:p w:rsidR="00CB10E5" w:rsidRPr="00313A63" w:rsidRDefault="00CB10E5" w:rsidP="00F76EA7">
            <w:pPr>
              <w:jc w:val="both"/>
              <w:rPr>
                <w:rFonts w:ascii="Arial" w:hAnsi="Arial" w:cs="Arial"/>
                <w:sz w:val="22"/>
                <w:szCs w:val="22"/>
              </w:rPr>
            </w:pPr>
            <w:r w:rsidRPr="00313A63">
              <w:rPr>
                <w:rFonts w:ascii="Arial" w:hAnsi="Arial" w:cs="Arial"/>
                <w:sz w:val="22"/>
                <w:szCs w:val="22"/>
              </w:rPr>
              <w:t>1.5.1.2. Servidores físicos conectados à rede de armazenamento por meio dos seguintes modelos de placas Fibre Channel HBA:</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vAlign w:val="center"/>
          </w:tcPr>
          <w:p w:rsidR="00CB10E5" w:rsidRPr="00313A63" w:rsidRDefault="00CB10E5" w:rsidP="00F76EA7">
            <w:pPr>
              <w:numPr>
                <w:ilvl w:val="0"/>
                <w:numId w:val="4"/>
              </w:numPr>
              <w:suppressAutoHyphens/>
              <w:jc w:val="both"/>
              <w:rPr>
                <w:rFonts w:ascii="Arial" w:hAnsi="Arial" w:cs="Arial"/>
                <w:sz w:val="22"/>
                <w:szCs w:val="22"/>
              </w:rPr>
            </w:pPr>
            <w:r w:rsidRPr="00313A63">
              <w:rPr>
                <w:rFonts w:ascii="Arial" w:hAnsi="Arial" w:cs="Arial"/>
                <w:sz w:val="22"/>
                <w:szCs w:val="22"/>
              </w:rPr>
              <w:t>Qlogic QLE2692;</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vAlign w:val="center"/>
          </w:tcPr>
          <w:p w:rsidR="00CB10E5" w:rsidRPr="00313A63" w:rsidRDefault="00CB10E5" w:rsidP="00F76EA7">
            <w:pPr>
              <w:numPr>
                <w:ilvl w:val="0"/>
                <w:numId w:val="4"/>
              </w:numPr>
              <w:suppressAutoHyphens/>
              <w:jc w:val="both"/>
              <w:rPr>
                <w:rFonts w:ascii="Arial" w:hAnsi="Arial" w:cs="Arial"/>
                <w:sz w:val="22"/>
                <w:szCs w:val="22"/>
              </w:rPr>
            </w:pPr>
            <w:r w:rsidRPr="00313A63">
              <w:rPr>
                <w:rFonts w:ascii="Arial" w:hAnsi="Arial" w:cs="Arial"/>
                <w:sz w:val="22"/>
                <w:szCs w:val="22"/>
              </w:rPr>
              <w:t>QLogic QLE2662;</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vAlign w:val="center"/>
          </w:tcPr>
          <w:p w:rsidR="00CB10E5" w:rsidRPr="00313A63" w:rsidRDefault="00CB10E5" w:rsidP="00F76EA7">
            <w:pPr>
              <w:numPr>
                <w:ilvl w:val="0"/>
                <w:numId w:val="4"/>
              </w:numPr>
              <w:suppressAutoHyphens/>
              <w:jc w:val="both"/>
              <w:rPr>
                <w:rFonts w:ascii="Arial" w:hAnsi="Arial" w:cs="Arial"/>
                <w:sz w:val="22"/>
                <w:szCs w:val="22"/>
              </w:rPr>
            </w:pPr>
            <w:r w:rsidRPr="00313A63">
              <w:rPr>
                <w:rFonts w:ascii="Arial" w:hAnsi="Arial" w:cs="Arial"/>
                <w:sz w:val="22"/>
                <w:szCs w:val="22"/>
              </w:rPr>
              <w:t>Emulex LPe16002B;</w:t>
            </w:r>
          </w:p>
        </w:tc>
        <w:tc>
          <w:tcPr>
            <w:tcW w:w="2834" w:type="dxa"/>
            <w:shd w:val="clear" w:color="auto" w:fill="auto"/>
            <w:vAlign w:val="center"/>
          </w:tcPr>
          <w:p w:rsidR="00CB10E5" w:rsidRPr="00A411C9" w:rsidRDefault="00CB10E5" w:rsidP="00F76EA7">
            <w:pPr>
              <w:rPr>
                <w:rFonts w:ascii="Arial" w:hAnsi="Arial" w:cs="Arial"/>
                <w:sz w:val="22"/>
                <w:szCs w:val="22"/>
              </w:rPr>
            </w:pPr>
          </w:p>
        </w:tc>
      </w:tr>
      <w:tr w:rsidR="00CB10E5" w:rsidRPr="00A411C9" w:rsidTr="00F76EA7">
        <w:trPr>
          <w:jc w:val="center"/>
        </w:trPr>
        <w:tc>
          <w:tcPr>
            <w:tcW w:w="6239" w:type="dxa"/>
            <w:shd w:val="clear" w:color="auto" w:fill="auto"/>
            <w:vAlign w:val="center"/>
          </w:tcPr>
          <w:p w:rsidR="00CB10E5" w:rsidRPr="00313A63" w:rsidRDefault="00CB10E5" w:rsidP="00F76EA7">
            <w:pPr>
              <w:numPr>
                <w:ilvl w:val="0"/>
                <w:numId w:val="4"/>
              </w:numPr>
              <w:suppressAutoHyphens/>
              <w:jc w:val="both"/>
              <w:rPr>
                <w:rFonts w:ascii="Arial" w:hAnsi="Arial" w:cs="Arial"/>
                <w:sz w:val="22"/>
                <w:szCs w:val="22"/>
              </w:rPr>
            </w:pPr>
            <w:r w:rsidRPr="00313A63">
              <w:rPr>
                <w:rFonts w:ascii="Arial" w:hAnsi="Arial" w:cs="Arial"/>
                <w:sz w:val="22"/>
                <w:szCs w:val="22"/>
              </w:rPr>
              <w:t>Emulex LPe35002.</w:t>
            </w:r>
          </w:p>
        </w:tc>
        <w:tc>
          <w:tcPr>
            <w:tcW w:w="2834" w:type="dxa"/>
            <w:shd w:val="clear" w:color="auto" w:fill="auto"/>
            <w:vAlign w:val="center"/>
          </w:tcPr>
          <w:p w:rsidR="00CB10E5" w:rsidRPr="00A411C9" w:rsidRDefault="00CB10E5" w:rsidP="00F76EA7">
            <w:pPr>
              <w:rPr>
                <w:rFonts w:ascii="Arial" w:hAnsi="Arial" w:cs="Arial"/>
                <w:sz w:val="22"/>
                <w:szCs w:val="22"/>
              </w:rPr>
            </w:pPr>
          </w:p>
        </w:tc>
      </w:tr>
    </w:tbl>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CB10E5" w:rsidRPr="00B44F2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sidRPr="000418AE">
        <w:rPr>
          <w:rFonts w:ascii="Arial" w:hAnsi="Arial" w:cs="Arial"/>
          <w:sz w:val="24"/>
          <w:szCs w:val="24"/>
        </w:rPr>
        <w:t>Edital</w:t>
      </w:r>
      <w:r w:rsidRPr="00B44F25">
        <w:rPr>
          <w:rFonts w:ascii="Arial" w:hAnsi="Arial" w:cs="Arial"/>
          <w:sz w:val="24"/>
          <w:szCs w:val="24"/>
        </w:rPr>
        <w:t>).</w:t>
      </w:r>
    </w:p>
    <w:p w:rsidR="00CB10E5" w:rsidRPr="00CE06E7" w:rsidRDefault="00CB10E5" w:rsidP="00CB1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E06E7">
        <w:rPr>
          <w:rFonts w:ascii="Arial" w:hAnsi="Arial" w:cs="Arial"/>
          <w:b/>
          <w:sz w:val="24"/>
          <w:szCs w:val="24"/>
        </w:rPr>
        <w:t>PRAZO DE ENTREGA DOS EQUIPAMENTOS E SOFTWARES:</w:t>
      </w:r>
      <w:r w:rsidRPr="00CE06E7">
        <w:rPr>
          <w:rFonts w:ascii="Arial" w:hAnsi="Arial" w:cs="Arial"/>
          <w:sz w:val="24"/>
          <w:szCs w:val="24"/>
        </w:rPr>
        <w:t xml:space="preserve"> _________ (por extenso) dias (observar o disposto no Termo de Referência).</w:t>
      </w:r>
    </w:p>
    <w:p w:rsidR="00CB10E5" w:rsidRPr="00252CA4" w:rsidRDefault="00CB10E5" w:rsidP="00CB1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E06E7">
        <w:rPr>
          <w:rFonts w:ascii="Arial" w:hAnsi="Arial" w:cs="Arial"/>
          <w:b/>
          <w:sz w:val="24"/>
          <w:szCs w:val="24"/>
        </w:rPr>
        <w:t>PRAZO PARA EXECUÇÃO DOS SERVIÇOS (ATIVAÇÃO DA SOLUÇÃO E CAPACITAÇÃO OPERACIONAL), CONFORME O DISPOSTO NO TERMO DE REFERÊNCIA</w:t>
      </w:r>
      <w:r w:rsidRPr="00252CA4">
        <w:rPr>
          <w:rFonts w:ascii="Arial" w:hAnsi="Arial" w:cs="Arial"/>
          <w:sz w:val="24"/>
          <w:szCs w:val="24"/>
        </w:rPr>
        <w:t>.</w:t>
      </w:r>
    </w:p>
    <w:p w:rsidR="00CB10E5" w:rsidRPr="00CE06E7"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CE06E7">
        <w:rPr>
          <w:rFonts w:ascii="Arial" w:hAnsi="Arial" w:cs="Arial"/>
          <w:b/>
          <w:sz w:val="24"/>
          <w:szCs w:val="24"/>
        </w:rPr>
        <w:t xml:space="preserve">PRAZO DE GARANTIA DO OBJETO: 60 </w:t>
      </w:r>
      <w:r>
        <w:rPr>
          <w:rFonts w:ascii="Arial" w:hAnsi="Arial" w:cs="Arial"/>
          <w:b/>
          <w:sz w:val="24"/>
          <w:szCs w:val="24"/>
        </w:rPr>
        <w:t>(SESSENTA) MESES</w:t>
      </w:r>
      <w:r w:rsidRPr="00CE06E7">
        <w:rPr>
          <w:rFonts w:ascii="Arial" w:hAnsi="Arial" w:cs="Arial"/>
          <w:b/>
          <w:sz w:val="24"/>
          <w:szCs w:val="24"/>
        </w:rPr>
        <w:t>, CONFORME O DISPOSTO NO TERMO DE REFERÊNCIA.</w:t>
      </w:r>
    </w:p>
    <w:p w:rsidR="00CB10E5" w:rsidRDefault="00CB10E5" w:rsidP="00CB1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CB10E5" w:rsidRDefault="00CB10E5" w:rsidP="00CB1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E06E7">
        <w:rPr>
          <w:rFonts w:ascii="Arial" w:hAnsi="Arial" w:cs="Arial"/>
          <w:sz w:val="24"/>
          <w:szCs w:val="24"/>
        </w:rPr>
        <w:t xml:space="preserve">Declaramos que seremos responsáveis pelo descarte ambientalmente adequado de todos os resíduos gerados durante a execução dos serviços contratados – incluindo consumíveis, peças substituídas, embalagens e demais materiais – em conformidade com a legislação ambiental vigente, especialmente a Lei n. 9.605/1998 (Lei de Crimes Ambientais), a Lei n. 12.305/2010 (Política </w:t>
      </w:r>
      <w:r w:rsidRPr="00CE06E7">
        <w:rPr>
          <w:rFonts w:ascii="Arial" w:hAnsi="Arial" w:cs="Arial"/>
          <w:sz w:val="24"/>
          <w:szCs w:val="24"/>
        </w:rPr>
        <w:lastRenderedPageBreak/>
        <w:t>Nacional de Resíduos Sólidos) e a NBR 10.004 (classificação de resíduos sólidos).</w:t>
      </w:r>
    </w:p>
    <w:p w:rsidR="00CB10E5" w:rsidRPr="00CE06E7" w:rsidRDefault="00CB10E5" w:rsidP="00CB10E5">
      <w:pPr>
        <w:pStyle w:val="PargrafodaLista"/>
        <w:spacing w:before="120" w:after="120"/>
        <w:ind w:left="0"/>
        <w:contextualSpacing w:val="0"/>
        <w:jc w:val="both"/>
        <w:rPr>
          <w:rFonts w:ascii="Arial" w:hAnsi="Arial" w:cs="Arial"/>
          <w:sz w:val="24"/>
          <w:szCs w:val="24"/>
        </w:rPr>
      </w:pPr>
      <w:r w:rsidRPr="00CE06E7">
        <w:rPr>
          <w:rFonts w:ascii="Arial" w:hAnsi="Arial" w:cs="Arial"/>
          <w:sz w:val="24"/>
          <w:szCs w:val="24"/>
        </w:rPr>
        <w:t>Declaramos que os equipamentos e softwares ofertados, caso necessário, receberão atendimento de garantia na rede de assistência autorizada pelo fabricante.</w:t>
      </w:r>
    </w:p>
    <w:p w:rsidR="00CB10E5" w:rsidRPr="00CE06E7" w:rsidRDefault="00CB10E5" w:rsidP="00CB10E5">
      <w:pPr>
        <w:pStyle w:val="PargrafodaLista"/>
        <w:spacing w:before="120" w:after="120"/>
        <w:ind w:left="0"/>
        <w:contextualSpacing w:val="0"/>
        <w:jc w:val="both"/>
        <w:rPr>
          <w:rFonts w:ascii="Arial" w:hAnsi="Arial" w:cs="Arial"/>
          <w:sz w:val="24"/>
          <w:szCs w:val="24"/>
        </w:rPr>
      </w:pPr>
      <w:r w:rsidRPr="00CE06E7">
        <w:rPr>
          <w:rFonts w:ascii="Arial" w:hAnsi="Arial" w:cs="Arial"/>
          <w:sz w:val="24"/>
          <w:szCs w:val="24"/>
        </w:rPr>
        <w:t>Declaramos que disponibilizaremos equipamentos e pessoal técnico adequados para realização do objeto da presente licitação</w:t>
      </w:r>
      <w:r w:rsidRPr="00252CA4">
        <w:rPr>
          <w:rFonts w:ascii="Arial" w:hAnsi="Arial" w:cs="Arial"/>
          <w:sz w:val="24"/>
          <w:szCs w:val="24"/>
        </w:rPr>
        <w:t>.</w:t>
      </w:r>
    </w:p>
    <w:p w:rsidR="00CB10E5" w:rsidRPr="00252CA4" w:rsidRDefault="00CB10E5" w:rsidP="00CB10E5">
      <w:pPr>
        <w:pStyle w:val="PargrafodaLista"/>
        <w:spacing w:before="120" w:after="120"/>
        <w:ind w:left="0"/>
        <w:contextualSpacing w:val="0"/>
        <w:jc w:val="both"/>
        <w:rPr>
          <w:rFonts w:ascii="Arial" w:hAnsi="Arial" w:cs="Arial"/>
          <w:sz w:val="24"/>
          <w:szCs w:val="24"/>
        </w:rPr>
      </w:pPr>
      <w:r w:rsidRPr="00CE06E7">
        <w:rPr>
          <w:rFonts w:ascii="Arial" w:hAnsi="Arial" w:cs="Arial"/>
          <w:sz w:val="24"/>
          <w:szCs w:val="24"/>
        </w:rPr>
        <w:t>Declaramos que informaremos os preços unitários dos equipamentos, das peças e dos demais componentes que integram o objeto da licitação sempre que solicitado pela Câmara dos Deputados, para fins de registro patrimonial.</w:t>
      </w:r>
    </w:p>
    <w:p w:rsidR="00CB10E5" w:rsidRPr="00C4399C" w:rsidRDefault="00CB10E5" w:rsidP="00CB1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E06E7">
        <w:rPr>
          <w:rFonts w:ascii="Arial" w:hAnsi="Arial" w:cs="Arial"/>
          <w:sz w:val="24"/>
          <w:szCs w:val="24"/>
        </w:rPr>
        <w:t xml:space="preserve">Declaramos que disponibilizaremos, na data da assinatura do Contrato, Centro de Suporte com atendimento em português do Brasil, indicando as formas de </w:t>
      </w:r>
      <w:r w:rsidRPr="00C4399C">
        <w:rPr>
          <w:rFonts w:ascii="Arial" w:hAnsi="Arial" w:cs="Arial"/>
          <w:sz w:val="24"/>
          <w:szCs w:val="24"/>
        </w:rPr>
        <w:t xml:space="preserve">contato (número de telefone e/ou site </w:t>
      </w:r>
      <w:r w:rsidRPr="00C4399C">
        <w:rPr>
          <w:rFonts w:ascii="Arial" w:hAnsi="Arial" w:cs="Arial"/>
          <w:i/>
          <w:sz w:val="24"/>
          <w:szCs w:val="24"/>
        </w:rPr>
        <w:t>Internet</w:t>
      </w:r>
      <w:r w:rsidRPr="00C4399C">
        <w:rPr>
          <w:rFonts w:ascii="Arial" w:hAnsi="Arial" w:cs="Arial"/>
          <w:sz w:val="24"/>
          <w:szCs w:val="24"/>
        </w:rPr>
        <w:t>).</w:t>
      </w:r>
    </w:p>
    <w:p w:rsidR="00CB10E5" w:rsidRDefault="00CB10E5" w:rsidP="00CB1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4399C">
        <w:rPr>
          <w:rFonts w:ascii="Arial" w:hAnsi="Arial" w:cs="Arial"/>
          <w:sz w:val="24"/>
          <w:szCs w:val="24"/>
        </w:rPr>
        <w:t>Declaramos que oferecere</w:t>
      </w:r>
      <w:r w:rsidRPr="00CE06E7">
        <w:rPr>
          <w:rFonts w:ascii="Arial" w:hAnsi="Arial" w:cs="Arial"/>
          <w:sz w:val="24"/>
          <w:szCs w:val="24"/>
        </w:rPr>
        <w:t xml:space="preserve">mos garantia de funcionamento do fabricante pelo período mínimo de 5 (cinco) anos; que os equipamentos e os softwares constantes da solução proposta pertencem à atual linha de produção do fabricante, na data da abertura da licitação; e que não há publicação de anúncio, pelo fabricante, da descontinuidade dos serviços de suporte </w:t>
      </w:r>
      <w:r w:rsidRPr="00CE06E7">
        <w:rPr>
          <w:rFonts w:ascii="Arial" w:hAnsi="Arial" w:cs="Arial"/>
          <w:i/>
          <w:sz w:val="24"/>
          <w:szCs w:val="24"/>
        </w:rPr>
        <w:t>(End of Support - EOS</w:t>
      </w:r>
      <w:r w:rsidRPr="00CE06E7">
        <w:rPr>
          <w:rFonts w:ascii="Arial" w:hAnsi="Arial" w:cs="Arial"/>
          <w:sz w:val="24"/>
          <w:szCs w:val="24"/>
        </w:rPr>
        <w:t xml:space="preserve"> ou </w:t>
      </w:r>
      <w:r w:rsidRPr="00CE06E7">
        <w:rPr>
          <w:rFonts w:ascii="Arial" w:hAnsi="Arial" w:cs="Arial"/>
          <w:i/>
          <w:sz w:val="24"/>
          <w:szCs w:val="24"/>
        </w:rPr>
        <w:t>End of Service - EOS)</w:t>
      </w:r>
      <w:r w:rsidRPr="00CE06E7">
        <w:rPr>
          <w:rFonts w:ascii="Arial" w:hAnsi="Arial" w:cs="Arial"/>
          <w:sz w:val="24"/>
          <w:szCs w:val="24"/>
        </w:rPr>
        <w:t xml:space="preserve"> dentro de 5 (cinco) anos, contados da data da abertura da licitação.</w:t>
      </w:r>
    </w:p>
    <w:p w:rsidR="00CB10E5" w:rsidRDefault="00CB10E5" w:rsidP="00CB1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pPr w:leftFromText="141" w:rightFromText="141" w:vertAnchor="page" w:horzAnchor="margin" w:tblpY="8206"/>
        <w:tblW w:w="9771" w:type="dxa"/>
        <w:tblCellMar>
          <w:left w:w="0" w:type="dxa"/>
          <w:right w:w="0" w:type="dxa"/>
        </w:tblCellMar>
        <w:tblLook w:val="04A0" w:firstRow="1" w:lastRow="0" w:firstColumn="1" w:lastColumn="0" w:noHBand="0" w:noVBand="1"/>
      </w:tblPr>
      <w:tblGrid>
        <w:gridCol w:w="2967"/>
        <w:gridCol w:w="6804"/>
      </w:tblGrid>
      <w:tr w:rsidR="00CB10E5" w:rsidRPr="00374D35" w:rsidTr="00CB10E5">
        <w:trPr>
          <w:trHeight w:val="389"/>
          <w:tblHeader/>
        </w:trPr>
        <w:tc>
          <w:tcPr>
            <w:tcW w:w="97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CB10E5" w:rsidRPr="00374D35" w:rsidRDefault="00CB10E5" w:rsidP="00CB10E5">
            <w:pPr>
              <w:jc w:val="center"/>
              <w:rPr>
                <w:rFonts w:ascii="Arial" w:hAnsi="Arial" w:cs="Arial"/>
                <w:b/>
                <w:bCs/>
              </w:rPr>
            </w:pPr>
            <w:r w:rsidRPr="00374D35">
              <w:rPr>
                <w:rFonts w:ascii="Arial" w:hAnsi="Arial" w:cs="Arial"/>
                <w:b/>
                <w:bCs/>
              </w:rPr>
              <w:t>DADOS PARA ASSINATURA DO CONTRATO</w:t>
            </w:r>
          </w:p>
        </w:tc>
      </w:tr>
      <w:tr w:rsidR="00CB10E5" w:rsidRPr="00374D35" w:rsidTr="00CB10E5">
        <w:trPr>
          <w:trHeight w:val="140"/>
        </w:trPr>
        <w:tc>
          <w:tcPr>
            <w:tcW w:w="2967" w:type="dxa"/>
            <w:tcBorders>
              <w:top w:val="nil"/>
              <w:left w:val="single" w:sz="8" w:space="0" w:color="auto"/>
              <w:bottom w:val="single" w:sz="8" w:space="0" w:color="auto"/>
              <w:right w:val="single" w:sz="8" w:space="0" w:color="auto"/>
            </w:tcBorders>
            <w:vAlign w:val="center"/>
            <w:hideMark/>
          </w:tcPr>
          <w:p w:rsidR="00CB10E5" w:rsidRPr="00374D35" w:rsidRDefault="00CB10E5" w:rsidP="00CB10E5">
            <w:pPr>
              <w:pStyle w:val="Cabealho"/>
              <w:autoSpaceDE w:val="0"/>
              <w:autoSpaceDN w:val="0"/>
              <w:rPr>
                <w:rFonts w:ascii="Arial" w:hAnsi="Arial" w:cs="Arial"/>
                <w:lang w:eastAsia="en-US"/>
              </w:rPr>
            </w:pPr>
            <w:r w:rsidRPr="00374D35">
              <w:rPr>
                <w:rFonts w:ascii="Arial" w:hAnsi="Arial" w:cs="Arial"/>
                <w:lang w:eastAsia="en-US"/>
              </w:rPr>
              <w:t>Nome do signatário</w:t>
            </w:r>
          </w:p>
        </w:tc>
        <w:tc>
          <w:tcPr>
            <w:tcW w:w="6804" w:type="dxa"/>
            <w:tcBorders>
              <w:top w:val="nil"/>
              <w:left w:val="nil"/>
              <w:bottom w:val="single" w:sz="8" w:space="0" w:color="auto"/>
              <w:right w:val="single" w:sz="8" w:space="0" w:color="auto"/>
            </w:tcBorders>
            <w:vAlign w:val="center"/>
          </w:tcPr>
          <w:p w:rsidR="00CB10E5" w:rsidRPr="00374D35" w:rsidRDefault="00CB10E5" w:rsidP="00CB10E5">
            <w:pPr>
              <w:snapToGrid w:val="0"/>
              <w:jc w:val="center"/>
              <w:rPr>
                <w:rFonts w:ascii="Arial" w:hAnsi="Arial" w:cs="Arial"/>
                <w:b/>
                <w:bCs/>
              </w:rPr>
            </w:pPr>
          </w:p>
        </w:tc>
      </w:tr>
      <w:tr w:rsidR="00CB10E5" w:rsidRPr="00374D35" w:rsidTr="00CB10E5">
        <w:trPr>
          <w:trHeight w:val="16"/>
        </w:trPr>
        <w:tc>
          <w:tcPr>
            <w:tcW w:w="2967" w:type="dxa"/>
            <w:tcBorders>
              <w:top w:val="nil"/>
              <w:left w:val="single" w:sz="8" w:space="0" w:color="auto"/>
              <w:bottom w:val="single" w:sz="8" w:space="0" w:color="auto"/>
              <w:right w:val="single" w:sz="8" w:space="0" w:color="auto"/>
            </w:tcBorders>
            <w:vAlign w:val="center"/>
            <w:hideMark/>
          </w:tcPr>
          <w:p w:rsidR="00CB10E5" w:rsidRPr="00374D35" w:rsidRDefault="00CB10E5" w:rsidP="00CB10E5">
            <w:pPr>
              <w:autoSpaceDE w:val="0"/>
              <w:autoSpaceDN w:val="0"/>
              <w:rPr>
                <w:rFonts w:ascii="Arial" w:hAnsi="Arial" w:cs="Arial"/>
              </w:rPr>
            </w:pPr>
            <w:r w:rsidRPr="00374D35">
              <w:rPr>
                <w:rFonts w:ascii="Arial" w:hAnsi="Arial" w:cs="Arial"/>
              </w:rPr>
              <w:t>Cargo</w:t>
            </w:r>
          </w:p>
        </w:tc>
        <w:tc>
          <w:tcPr>
            <w:tcW w:w="6804" w:type="dxa"/>
            <w:tcBorders>
              <w:top w:val="nil"/>
              <w:left w:val="nil"/>
              <w:bottom w:val="single" w:sz="8" w:space="0" w:color="auto"/>
              <w:right w:val="single" w:sz="8" w:space="0" w:color="auto"/>
            </w:tcBorders>
            <w:vAlign w:val="center"/>
          </w:tcPr>
          <w:p w:rsidR="00CB10E5" w:rsidRPr="00374D35" w:rsidRDefault="00CB10E5" w:rsidP="00CB10E5">
            <w:pPr>
              <w:snapToGrid w:val="0"/>
              <w:jc w:val="center"/>
              <w:rPr>
                <w:rFonts w:ascii="Arial" w:hAnsi="Arial" w:cs="Arial"/>
                <w:b/>
                <w:bCs/>
              </w:rPr>
            </w:pPr>
          </w:p>
        </w:tc>
      </w:tr>
      <w:tr w:rsidR="00CB10E5" w:rsidRPr="00374D35" w:rsidTr="00CB10E5">
        <w:trPr>
          <w:trHeight w:val="16"/>
        </w:trPr>
        <w:tc>
          <w:tcPr>
            <w:tcW w:w="2967" w:type="dxa"/>
            <w:tcBorders>
              <w:top w:val="nil"/>
              <w:left w:val="single" w:sz="8" w:space="0" w:color="auto"/>
              <w:bottom w:val="single" w:sz="8" w:space="0" w:color="auto"/>
              <w:right w:val="single" w:sz="8" w:space="0" w:color="auto"/>
            </w:tcBorders>
            <w:vAlign w:val="center"/>
            <w:hideMark/>
          </w:tcPr>
          <w:p w:rsidR="00CB10E5" w:rsidRPr="00374D35" w:rsidRDefault="00CB10E5" w:rsidP="00CB10E5">
            <w:pPr>
              <w:autoSpaceDE w:val="0"/>
              <w:autoSpaceDN w:val="0"/>
              <w:rPr>
                <w:rFonts w:ascii="Arial" w:hAnsi="Arial" w:cs="Arial"/>
              </w:rPr>
            </w:pPr>
            <w:r w:rsidRPr="00374D35">
              <w:rPr>
                <w:rFonts w:ascii="Arial" w:hAnsi="Arial" w:cs="Arial"/>
              </w:rPr>
              <w:t>Qualificação</w:t>
            </w:r>
          </w:p>
          <w:p w:rsidR="00CB10E5" w:rsidRPr="00374D35" w:rsidRDefault="00CB10E5" w:rsidP="00CB10E5">
            <w:pPr>
              <w:autoSpaceDE w:val="0"/>
              <w:autoSpaceDN w:val="0"/>
              <w:rPr>
                <w:rFonts w:ascii="Arial" w:hAnsi="Arial" w:cs="Arial"/>
              </w:rPr>
            </w:pPr>
            <w:r w:rsidRPr="00374D35">
              <w:rPr>
                <w:rFonts w:ascii="Arial" w:hAnsi="Arial" w:cs="Arial"/>
              </w:rPr>
              <w:t>(</w:t>
            </w:r>
            <w:proofErr w:type="gramStart"/>
            <w:r w:rsidRPr="00374D35">
              <w:rPr>
                <w:rFonts w:ascii="Arial" w:hAnsi="Arial" w:cs="Arial"/>
              </w:rPr>
              <w:t>naturalidade</w:t>
            </w:r>
            <w:proofErr w:type="gramEnd"/>
            <w:r w:rsidRPr="00374D35">
              <w:rPr>
                <w:rFonts w:ascii="Arial" w:hAnsi="Arial" w:cs="Arial"/>
              </w:rPr>
              <w:t xml:space="preserve"> e domicílio)</w:t>
            </w:r>
          </w:p>
        </w:tc>
        <w:tc>
          <w:tcPr>
            <w:tcW w:w="6804" w:type="dxa"/>
            <w:tcBorders>
              <w:top w:val="nil"/>
              <w:left w:val="nil"/>
              <w:bottom w:val="single" w:sz="8" w:space="0" w:color="auto"/>
              <w:right w:val="single" w:sz="8" w:space="0" w:color="auto"/>
            </w:tcBorders>
            <w:vAlign w:val="center"/>
          </w:tcPr>
          <w:p w:rsidR="00CB10E5" w:rsidRPr="00374D35" w:rsidRDefault="00CB10E5" w:rsidP="00CB10E5">
            <w:pPr>
              <w:snapToGrid w:val="0"/>
              <w:jc w:val="center"/>
              <w:rPr>
                <w:rFonts w:ascii="Arial" w:hAnsi="Arial" w:cs="Arial"/>
                <w:b/>
                <w:bCs/>
              </w:rPr>
            </w:pPr>
          </w:p>
        </w:tc>
      </w:tr>
      <w:tr w:rsidR="00CB10E5" w:rsidRPr="008B53AB" w:rsidTr="00CB10E5">
        <w:trPr>
          <w:trHeight w:val="570"/>
        </w:trPr>
        <w:tc>
          <w:tcPr>
            <w:tcW w:w="9771" w:type="dxa"/>
            <w:gridSpan w:val="2"/>
            <w:tcBorders>
              <w:top w:val="nil"/>
              <w:left w:val="single" w:sz="8" w:space="0" w:color="auto"/>
              <w:bottom w:val="single" w:sz="8" w:space="0" w:color="auto"/>
              <w:right w:val="single" w:sz="8" w:space="0" w:color="auto"/>
            </w:tcBorders>
            <w:shd w:val="clear" w:color="auto" w:fill="D9D9D9"/>
            <w:vAlign w:val="center"/>
            <w:hideMark/>
          </w:tcPr>
          <w:p w:rsidR="00CB10E5" w:rsidRPr="00374D35" w:rsidRDefault="00CB10E5" w:rsidP="00CB10E5">
            <w:pPr>
              <w:snapToGrid w:val="0"/>
              <w:jc w:val="both"/>
              <w:rPr>
                <w:rFonts w:ascii="Arial" w:hAnsi="Arial" w:cs="Arial"/>
                <w:i/>
              </w:rPr>
            </w:pPr>
            <w:r w:rsidRPr="00374D35">
              <w:rPr>
                <w:rFonts w:ascii="Arial" w:hAnsi="Arial" w:cs="Arial"/>
                <w:i/>
              </w:rPr>
              <w:t xml:space="preserve">OBS.: O signatário deve possuir poderes de administração estabelecidos em contrato social e/ou possuir procuração com poderes para </w:t>
            </w:r>
            <w:r w:rsidRPr="00374D35">
              <w:rPr>
                <w:rFonts w:ascii="Arial" w:hAnsi="Arial" w:cs="Arial"/>
                <w:b/>
                <w:bCs/>
                <w:i/>
                <w:u w:val="single"/>
              </w:rPr>
              <w:t xml:space="preserve">assinar contratos </w:t>
            </w:r>
            <w:r w:rsidRPr="00374D35">
              <w:rPr>
                <w:rFonts w:ascii="Arial" w:hAnsi="Arial" w:cs="Arial"/>
                <w:i/>
              </w:rPr>
              <w:t>em nome da empresa.</w:t>
            </w:r>
          </w:p>
          <w:p w:rsidR="00CB10E5" w:rsidRPr="008B53AB" w:rsidRDefault="00CB10E5" w:rsidP="00CB10E5">
            <w:pPr>
              <w:snapToGrid w:val="0"/>
              <w:jc w:val="both"/>
              <w:rPr>
                <w:rFonts w:ascii="Arial" w:hAnsi="Arial" w:cs="Arial"/>
              </w:rPr>
            </w:pPr>
            <w:r w:rsidRPr="00374D35">
              <w:rPr>
                <w:rFonts w:ascii="Arial" w:hAnsi="Arial" w:cs="Arial"/>
                <w:i/>
              </w:rPr>
              <w:t>A documentação comprobatória deverá ser encaminhada quando da assinatura do Contrato.</w:t>
            </w:r>
          </w:p>
        </w:tc>
      </w:tr>
    </w:tbl>
    <w:p w:rsidR="00CB10E5" w:rsidRDefault="00CB10E5" w:rsidP="00CB1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CB10E5" w:rsidRPr="007925C5" w:rsidRDefault="00CB10E5" w:rsidP="00CB10E5">
      <w:pPr>
        <w:pBdr>
          <w:top w:val="single" w:sz="4" w:space="0" w:color="auto"/>
          <w:left w:val="single" w:sz="4" w:space="4" w:color="auto"/>
          <w:bottom w:val="single" w:sz="4" w:space="1" w:color="auto"/>
          <w:right w:val="single" w:sz="4" w:space="31" w:color="auto"/>
        </w:pBdr>
        <w:spacing w:before="120" w:after="120"/>
        <w:jc w:val="center"/>
        <w:rPr>
          <w:rFonts w:ascii="Arial" w:hAnsi="Arial" w:cs="Arial"/>
          <w:b/>
          <w:i/>
        </w:rPr>
      </w:pPr>
      <w:r w:rsidRPr="007925C5">
        <w:rPr>
          <w:rFonts w:ascii="Arial" w:hAnsi="Arial" w:cs="Arial"/>
          <w:b/>
          <w:i/>
        </w:rPr>
        <w:t>MODALIDADE DE GARANTIA:</w:t>
      </w:r>
    </w:p>
    <w:p w:rsidR="00CB10E5" w:rsidRPr="007925C5" w:rsidRDefault="00CB10E5" w:rsidP="00CB10E5">
      <w:pPr>
        <w:pBdr>
          <w:top w:val="single" w:sz="4" w:space="0" w:color="auto"/>
          <w:left w:val="single" w:sz="4" w:space="4" w:color="auto"/>
          <w:bottom w:val="single" w:sz="4" w:space="1" w:color="auto"/>
          <w:right w:val="single" w:sz="4" w:space="31" w:color="auto"/>
        </w:pBdr>
        <w:jc w:val="center"/>
        <w:rPr>
          <w:rFonts w:ascii="Arial" w:hAnsi="Arial" w:cs="Arial"/>
          <w:i/>
        </w:rPr>
      </w:pPr>
      <w:r w:rsidRPr="007925C5">
        <w:rPr>
          <w:rFonts w:ascii="Arial" w:hAnsi="Arial" w:cs="Arial"/>
          <w:i/>
        </w:rPr>
        <w:t>De acordo com o disposto no Termo de Referência anexo ao Edital, informamos que, caso o objeto nos seja adjudicado, optaremos pela seguinte modalidade de garantia de execução do contrato (artigos 96 e seguintes da Lei n. 14.133/2021):</w:t>
      </w:r>
    </w:p>
    <w:p w:rsidR="00CB10E5" w:rsidRPr="00AE0DAC" w:rsidRDefault="00CB10E5" w:rsidP="00CB10E5">
      <w:pPr>
        <w:pBdr>
          <w:top w:val="single" w:sz="4" w:space="0" w:color="auto"/>
          <w:left w:val="single" w:sz="4" w:space="4" w:color="auto"/>
          <w:bottom w:val="single" w:sz="4" w:space="1" w:color="auto"/>
          <w:right w:val="single" w:sz="4" w:space="31" w:color="auto"/>
        </w:pBdr>
        <w:spacing w:before="120"/>
        <w:jc w:val="center"/>
        <w:rPr>
          <w:rFonts w:ascii="Arial" w:hAnsi="Arial" w:cs="Arial"/>
          <w:i/>
        </w:rPr>
      </w:pPr>
      <w:r w:rsidRPr="007925C5">
        <w:rPr>
          <w:rFonts w:ascii="Arial" w:hAnsi="Arial" w:cs="Arial"/>
          <w:i/>
        </w:rPr>
        <w:t>____________________________________</w:t>
      </w:r>
    </w:p>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de 2025.</w:t>
      </w:r>
    </w:p>
    <w:p w:rsidR="00CB10E5" w:rsidRPr="004E3901"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CB10E5" w:rsidRPr="004E3901"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rsidR="00CB10E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172A65" w:rsidRDefault="00CB10E5" w:rsidP="00CB1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ascii="Arial" w:hAnsi="Arial"/>
          <w:sz w:val="24"/>
        </w:rPr>
        <w:t>Nome do representante legal da empresa</w:t>
      </w:r>
    </w:p>
    <w:sectPr w:rsidR="00172A6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0E5" w:rsidRDefault="00CB10E5" w:rsidP="00CB10E5">
      <w:r>
        <w:separator/>
      </w:r>
    </w:p>
  </w:endnote>
  <w:endnote w:type="continuationSeparator" w:id="0">
    <w:p w:rsidR="00CB10E5" w:rsidRDefault="00CB10E5" w:rsidP="00CB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0E5" w:rsidRDefault="00CB10E5" w:rsidP="00CB10E5">
      <w:r>
        <w:separator/>
      </w:r>
    </w:p>
  </w:footnote>
  <w:footnote w:type="continuationSeparator" w:id="0">
    <w:p w:rsidR="00CB10E5" w:rsidRDefault="00CB10E5" w:rsidP="00CB10E5">
      <w:r>
        <w:continuationSeparator/>
      </w:r>
    </w:p>
  </w:footnote>
  <w:footnote w:id="1">
    <w:p w:rsidR="00CB10E5" w:rsidRPr="005B76EB" w:rsidRDefault="00CB10E5" w:rsidP="00CB10E5">
      <w:pPr>
        <w:pStyle w:val="Textodenotaderodap"/>
        <w:jc w:val="both"/>
        <w:rPr>
          <w:rFonts w:ascii="Arial" w:hAnsi="Arial" w:cs="Arial"/>
        </w:rPr>
      </w:pPr>
      <w:r w:rsidRPr="005B76EB">
        <w:rPr>
          <w:rStyle w:val="Refdenotaderodap"/>
          <w:rFonts w:ascii="Arial" w:hAnsi="Arial" w:cs="Arial"/>
        </w:rPr>
        <w:footnoteRef/>
      </w:r>
      <w:r w:rsidRPr="005B76EB">
        <w:rPr>
          <w:rFonts w:ascii="Arial" w:hAnsi="Arial" w:cs="Arial"/>
        </w:rPr>
        <w:t xml:space="preserve"> Conforme o seguinte cálculo: 136 portas na velocidade de 64 Gbps (alínea “a” do subitem 1.2.5 desta Tabela) + 16 portas na velocidade de 64 Gbps (alínea “c” do subitem 1.2.5 desta Tabela) = 152 portas de 64 Gbps + 40 portas na velocidade de 32 Gbps (alínea “b” do subitem 1.2.5 desta Tabela) = 192 portas. Sendo assim, a largura de banda agregada será de: (152 </w:t>
      </w:r>
      <w:proofErr w:type="gramStart"/>
      <w:r w:rsidRPr="005B76EB">
        <w:rPr>
          <w:rFonts w:ascii="Arial" w:hAnsi="Arial" w:cs="Arial"/>
        </w:rPr>
        <w:t>x</w:t>
      </w:r>
      <w:proofErr w:type="gramEnd"/>
      <w:r w:rsidRPr="005B76EB">
        <w:rPr>
          <w:rFonts w:ascii="Arial" w:hAnsi="Arial" w:cs="Arial"/>
        </w:rPr>
        <w:t xml:space="preserve"> 64 Gbps) + (40 x 32 Gbps) = 11.008 Gbps.</w:t>
      </w:r>
    </w:p>
  </w:footnote>
  <w:footnote w:id="2">
    <w:p w:rsidR="00CB10E5" w:rsidRPr="005B76EB" w:rsidRDefault="00CB10E5" w:rsidP="00CB10E5">
      <w:pPr>
        <w:pStyle w:val="Textodenotaderodap"/>
        <w:rPr>
          <w:rFonts w:ascii="Arial" w:hAnsi="Arial" w:cs="Arial"/>
        </w:rPr>
      </w:pPr>
      <w:r w:rsidRPr="005B76EB">
        <w:rPr>
          <w:rStyle w:val="Refdenotaderodap"/>
          <w:rFonts w:ascii="Arial" w:hAnsi="Arial" w:cs="Arial"/>
        </w:rPr>
        <w:footnoteRef/>
      </w:r>
      <w:r w:rsidRPr="005B76EB">
        <w:rPr>
          <w:rFonts w:ascii="Arial" w:hAnsi="Arial" w:cs="Arial"/>
        </w:rPr>
        <w:t xml:space="preserve"> A velocidade máxima por porta é de 64 Gbps, dessa forma, 1 (uma) lâmina de 48 (quarenta e oito) portas deverá suportar largura de banda de: 48 </w:t>
      </w:r>
      <w:proofErr w:type="gramStart"/>
      <w:r w:rsidRPr="005B76EB">
        <w:rPr>
          <w:rFonts w:ascii="Arial" w:hAnsi="Arial" w:cs="Arial"/>
        </w:rPr>
        <w:t>x</w:t>
      </w:r>
      <w:proofErr w:type="gramEnd"/>
      <w:r w:rsidRPr="005B76EB">
        <w:rPr>
          <w:rFonts w:ascii="Arial" w:hAnsi="Arial" w:cs="Arial"/>
        </w:rPr>
        <w:t xml:space="preserve"> 64 Gbps = 3.072 Gbps.</w:t>
      </w:r>
    </w:p>
  </w:footnote>
  <w:footnote w:id="3">
    <w:p w:rsidR="00CB10E5" w:rsidRPr="005B76EB" w:rsidRDefault="00CB10E5" w:rsidP="00CB10E5">
      <w:pPr>
        <w:pStyle w:val="Textodenotaderodap"/>
        <w:rPr>
          <w:rFonts w:ascii="Arial" w:hAnsi="Arial" w:cs="Arial"/>
        </w:rPr>
      </w:pPr>
      <w:r w:rsidRPr="005B76EB">
        <w:rPr>
          <w:rStyle w:val="Refdenotaderodap"/>
          <w:rFonts w:ascii="Arial" w:hAnsi="Arial" w:cs="Arial"/>
        </w:rPr>
        <w:footnoteRef/>
      </w:r>
      <w:r w:rsidRPr="005B76EB">
        <w:rPr>
          <w:rFonts w:ascii="Arial" w:hAnsi="Arial" w:cs="Arial"/>
        </w:rPr>
        <w:t xml:space="preserve"> As dependências físicas dos 2 (dois) </w:t>
      </w:r>
      <w:r w:rsidRPr="005B76EB">
        <w:rPr>
          <w:rFonts w:ascii="Arial" w:hAnsi="Arial" w:cs="Arial"/>
          <w:i/>
        </w:rPr>
        <w:t>datacenters</w:t>
      </w:r>
      <w:r w:rsidRPr="005B76EB">
        <w:rPr>
          <w:rFonts w:ascii="Arial" w:hAnsi="Arial" w:cs="Arial"/>
        </w:rPr>
        <w:t xml:space="preserve"> da Câmara dos Deputados distam entre si 2.479 (dois mil quatrocentos e setenta e nove) metros.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4D26"/>
    <w:multiLevelType w:val="multilevel"/>
    <w:tmpl w:val="87FEA0A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738"/>
        </w:tabs>
        <w:ind w:left="0" w:firstLine="0"/>
      </w:pPr>
      <w:rPr>
        <w:rFonts w:ascii="Arial" w:hAnsi="Arial" w:cs="Arial" w:hint="default"/>
        <w:b w:val="0"/>
        <w:i w:val="0"/>
        <w:color w:val="auto"/>
        <w:sz w:val="24"/>
        <w:szCs w:val="24"/>
      </w:rPr>
    </w:lvl>
    <w:lvl w:ilvl="3">
      <w:start w:val="1"/>
      <w:numFmt w:val="decimal"/>
      <w:pStyle w:val="Tit4n"/>
      <w:lvlText w:val="%2.%3.%4."/>
      <w:lvlJc w:val="left"/>
      <w:pPr>
        <w:tabs>
          <w:tab w:val="num" w:pos="1134"/>
        </w:tabs>
        <w:ind w:left="113" w:firstLine="0"/>
      </w:pPr>
      <w:rPr>
        <w:rFonts w:ascii="Arial" w:hAnsi="Arial" w:cs="Arial" w:hint="default"/>
        <w:b w:val="0"/>
        <w:i w:val="0"/>
        <w:sz w:val="24"/>
        <w:szCs w:val="24"/>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 w15:restartNumberingAfterBreak="0">
    <w:nsid w:val="1937788C"/>
    <w:multiLevelType w:val="multilevel"/>
    <w:tmpl w:val="D1B252B2"/>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2B443A"/>
    <w:multiLevelType w:val="hybridMultilevel"/>
    <w:tmpl w:val="2BA01544"/>
    <w:lvl w:ilvl="0" w:tplc="EE6409C6">
      <w:start w:val="1"/>
      <w:numFmt w:val="lowerRoman"/>
      <w:pStyle w:val="TLet3Sub"/>
      <w:lvlText w:val="%1."/>
      <w:lvlJc w:val="righ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3" w15:restartNumberingAfterBreak="0">
    <w:nsid w:val="45B918E6"/>
    <w:multiLevelType w:val="hybridMultilevel"/>
    <w:tmpl w:val="A89870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E5"/>
    <w:rsid w:val="00172A65"/>
    <w:rsid w:val="00CB10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05DB5-C76A-4BE1-817A-CF81D062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0E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CB10E5"/>
    <w:pPr>
      <w:ind w:left="720"/>
      <w:contextualSpacing/>
    </w:pPr>
  </w:style>
  <w:style w:type="paragraph" w:styleId="Cabealho">
    <w:name w:val="header"/>
    <w:aliases w:val="Cabeçalho superior,Heading 1a"/>
    <w:basedOn w:val="Normal"/>
    <w:link w:val="CabealhoChar"/>
    <w:rsid w:val="00CB10E5"/>
    <w:pPr>
      <w:tabs>
        <w:tab w:val="center" w:pos="4419"/>
        <w:tab w:val="right" w:pos="8838"/>
      </w:tabs>
    </w:pPr>
  </w:style>
  <w:style w:type="character" w:customStyle="1" w:styleId="CabealhoChar">
    <w:name w:val="Cabeçalho Char"/>
    <w:aliases w:val="Cabeçalho superior Char,Heading 1a Char"/>
    <w:basedOn w:val="Fontepargpadro"/>
    <w:link w:val="Cabealho"/>
    <w:rsid w:val="00CB10E5"/>
    <w:rPr>
      <w:rFonts w:ascii="Times New Roman" w:eastAsia="Times New Roman" w:hAnsi="Times New Roman" w:cs="Times New Roman"/>
      <w:sz w:val="20"/>
      <w:szCs w:val="20"/>
      <w:lang w:eastAsia="pt-BR"/>
    </w:rPr>
  </w:style>
  <w:style w:type="character" w:customStyle="1" w:styleId="fonte">
    <w:name w:val="fonte"/>
    <w:rsid w:val="00CB10E5"/>
  </w:style>
  <w:style w:type="paragraph" w:customStyle="1" w:styleId="WW-Corpodetexto2">
    <w:name w:val="WW-Corpo de texto 2"/>
    <w:basedOn w:val="Normal"/>
    <w:rsid w:val="00CB10E5"/>
    <w:pPr>
      <w:suppressAutoHyphens/>
      <w:jc w:val="both"/>
    </w:pPr>
    <w:rPr>
      <w:sz w:val="24"/>
    </w:rPr>
  </w:style>
  <w:style w:type="paragraph" w:customStyle="1" w:styleId="WW-Texto">
    <w:name w:val="WW-Texto"/>
    <w:basedOn w:val="Normal"/>
    <w:rsid w:val="00CB10E5"/>
    <w:pPr>
      <w:suppressAutoHyphens/>
      <w:spacing w:after="120"/>
      <w:ind w:firstLine="851"/>
      <w:jc w:val="both"/>
    </w:pPr>
    <w:rPr>
      <w:rFonts w:ascii="Arial" w:hAnsi="Arial"/>
      <w:sz w:val="24"/>
    </w:rPr>
  </w:style>
  <w:style w:type="table" w:styleId="Tabelacomgrade">
    <w:name w:val="Table Grid"/>
    <w:basedOn w:val="Tabelanormal"/>
    <w:uiPriority w:val="59"/>
    <w:rsid w:val="00CB10E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2n">
    <w:name w:val="Tit2n"/>
    <w:uiPriority w:val="99"/>
    <w:qFormat/>
    <w:rsid w:val="00CB10E5"/>
    <w:pPr>
      <w:numPr>
        <w:ilvl w:val="1"/>
        <w:numId w:val="1"/>
      </w:numPr>
      <w:spacing w:before="60" w:after="120" w:line="240" w:lineRule="auto"/>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CB10E5"/>
    <w:pPr>
      <w:pageBreakBefore/>
      <w:numPr>
        <w:numId w:val="1"/>
      </w:numPr>
      <w:spacing w:before="60" w:after="60" w:line="240" w:lineRule="auto"/>
      <w:jc w:val="center"/>
      <w:outlineLvl w:val="0"/>
    </w:pPr>
    <w:rPr>
      <w:rFonts w:ascii="Arial" w:eastAsia="Calibri" w:hAnsi="Arial" w:cs="Arial"/>
      <w:b/>
      <w:bCs/>
      <w:caps/>
      <w:sz w:val="24"/>
      <w:szCs w:val="24"/>
    </w:rPr>
  </w:style>
  <w:style w:type="paragraph" w:customStyle="1" w:styleId="Tit3n">
    <w:name w:val="Tit3n"/>
    <w:autoRedefine/>
    <w:uiPriority w:val="99"/>
    <w:qFormat/>
    <w:rsid w:val="00CB10E5"/>
    <w:pPr>
      <w:numPr>
        <w:ilvl w:val="2"/>
        <w:numId w:val="1"/>
      </w:numPr>
      <w:tabs>
        <w:tab w:val="clear" w:pos="738"/>
        <w:tab w:val="num" w:pos="851"/>
      </w:tabs>
      <w:spacing w:before="120" w:after="120" w:line="240" w:lineRule="auto"/>
      <w:jc w:val="both"/>
      <w:outlineLvl w:val="2"/>
    </w:pPr>
    <w:rPr>
      <w:rFonts w:ascii="Arial" w:eastAsia="Times New Roman" w:hAnsi="Arial" w:cs="Arial"/>
      <w:bCs/>
      <w:sz w:val="24"/>
      <w:szCs w:val="24"/>
      <w:lang w:eastAsia="pt-BR"/>
    </w:rPr>
  </w:style>
  <w:style w:type="paragraph" w:customStyle="1" w:styleId="Tit4n">
    <w:name w:val="Tit4n"/>
    <w:autoRedefine/>
    <w:uiPriority w:val="99"/>
    <w:qFormat/>
    <w:rsid w:val="00CB10E5"/>
    <w:pPr>
      <w:numPr>
        <w:ilvl w:val="3"/>
        <w:numId w:val="1"/>
      </w:numPr>
      <w:shd w:val="clear" w:color="auto" w:fill="FFFFFF"/>
      <w:spacing w:before="60" w:after="120" w:line="240" w:lineRule="auto"/>
      <w:jc w:val="both"/>
      <w:outlineLvl w:val="3"/>
    </w:pPr>
    <w:rPr>
      <w:rFonts w:ascii="Arial" w:eastAsia="Times New Roman" w:hAnsi="Arial" w:cs="Arial"/>
      <w:sz w:val="24"/>
      <w:szCs w:val="24"/>
      <w:lang w:eastAsia="pt-BR"/>
    </w:rPr>
  </w:style>
  <w:style w:type="paragraph" w:customStyle="1" w:styleId="Tit5n">
    <w:name w:val="Tit5n"/>
    <w:autoRedefine/>
    <w:uiPriority w:val="99"/>
    <w:qFormat/>
    <w:rsid w:val="00CB10E5"/>
    <w:pPr>
      <w:numPr>
        <w:ilvl w:val="4"/>
        <w:numId w:val="1"/>
      </w:numPr>
      <w:tabs>
        <w:tab w:val="clear" w:pos="2042"/>
        <w:tab w:val="num" w:pos="1134"/>
      </w:tabs>
      <w:spacing w:before="120" w:after="120" w:line="240" w:lineRule="auto"/>
      <w:ind w:left="113" w:firstLine="0"/>
      <w:jc w:val="both"/>
      <w:outlineLvl w:val="4"/>
    </w:pPr>
    <w:rPr>
      <w:rFonts w:ascii="Arial" w:eastAsia="Times New Roman" w:hAnsi="Arial" w:cs="Arial"/>
      <w:sz w:val="24"/>
      <w:szCs w:val="24"/>
      <w:lang w:eastAsia="pt-BR"/>
    </w:rPr>
  </w:style>
  <w:style w:type="paragraph" w:customStyle="1" w:styleId="Tit6n">
    <w:name w:val="Tit6n"/>
    <w:uiPriority w:val="99"/>
    <w:qFormat/>
    <w:rsid w:val="00CB10E5"/>
    <w:pPr>
      <w:numPr>
        <w:ilvl w:val="5"/>
        <w:numId w:val="1"/>
      </w:numPr>
      <w:tabs>
        <w:tab w:val="clear" w:pos="1305"/>
        <w:tab w:val="num" w:pos="1418"/>
      </w:tabs>
      <w:spacing w:before="60" w:after="120" w:line="240" w:lineRule="auto"/>
      <w:ind w:left="113" w:firstLine="0"/>
      <w:jc w:val="both"/>
      <w:outlineLvl w:val="5"/>
    </w:pPr>
    <w:rPr>
      <w:rFonts w:ascii="Arial" w:eastAsia="Calibri" w:hAnsi="Arial" w:cs="Arial"/>
      <w:sz w:val="24"/>
      <w:szCs w:val="24"/>
    </w:rPr>
  </w:style>
  <w:style w:type="paragraph" w:customStyle="1" w:styleId="TLet3">
    <w:name w:val="TLet3"/>
    <w:qFormat/>
    <w:rsid w:val="00CB10E5"/>
    <w:pPr>
      <w:spacing w:before="60" w:after="120" w:line="240" w:lineRule="auto"/>
      <w:jc w:val="both"/>
    </w:pPr>
    <w:rPr>
      <w:rFonts w:ascii="Arial" w:eastAsia="Times New Roman" w:hAnsi="Arial" w:cs="Arial"/>
      <w:sz w:val="24"/>
      <w:szCs w:val="24"/>
      <w:lang w:eastAsia="pt-BR"/>
    </w:rPr>
  </w:style>
  <w:style w:type="paragraph" w:customStyle="1" w:styleId="Tit1Sub">
    <w:name w:val="Tit1Sub"/>
    <w:rsid w:val="00CB10E5"/>
    <w:pPr>
      <w:numPr>
        <w:numId w:val="2"/>
      </w:numPr>
      <w:spacing w:before="60" w:after="60" w:line="240" w:lineRule="auto"/>
      <w:jc w:val="center"/>
    </w:pPr>
    <w:rPr>
      <w:rFonts w:ascii="Arial" w:eastAsia="Calibri" w:hAnsi="Arial" w:cs="Arial"/>
      <w:b/>
      <w:caps/>
      <w:sz w:val="24"/>
      <w:szCs w:val="24"/>
    </w:rPr>
  </w:style>
  <w:style w:type="paragraph" w:customStyle="1" w:styleId="TLet3Sub">
    <w:name w:val="TLet3Sub"/>
    <w:basedOn w:val="Normal"/>
    <w:qFormat/>
    <w:rsid w:val="00CB10E5"/>
    <w:pPr>
      <w:numPr>
        <w:numId w:val="3"/>
      </w:numPr>
      <w:spacing w:before="60" w:after="120"/>
      <w:jc w:val="both"/>
    </w:pPr>
    <w:rPr>
      <w:rFonts w:ascii="Arial" w:hAnsi="Arial" w:cs="Arial"/>
      <w:sz w:val="24"/>
      <w:szCs w:val="24"/>
    </w:rPr>
  </w:style>
  <w:style w:type="character" w:customStyle="1" w:styleId="PargrafodaListaChar">
    <w:name w:val="Parágrafo da Lista Char"/>
    <w:basedOn w:val="Fontepargpadro"/>
    <w:link w:val="PargrafodaLista"/>
    <w:uiPriority w:val="34"/>
    <w:locked/>
    <w:rsid w:val="00CB10E5"/>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CB10E5"/>
  </w:style>
  <w:style w:type="character" w:customStyle="1" w:styleId="TextodenotaderodapChar">
    <w:name w:val="Texto de nota de rodapé Char"/>
    <w:basedOn w:val="Fontepargpadro"/>
    <w:link w:val="Textodenotaderodap"/>
    <w:uiPriority w:val="99"/>
    <w:semiHidden/>
    <w:rsid w:val="00CB10E5"/>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CB10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3769</Words>
  <Characters>20358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Lopes Gonçalves</dc:creator>
  <cp:keywords/>
  <dc:description/>
  <cp:lastModifiedBy>Carolina Lopes Gonçalves</cp:lastModifiedBy>
  <cp:revision>1</cp:revision>
  <dcterms:created xsi:type="dcterms:W3CDTF">2025-10-14T12:13:00Z</dcterms:created>
  <dcterms:modified xsi:type="dcterms:W3CDTF">2025-10-14T12:15:00Z</dcterms:modified>
</cp:coreProperties>
</file>