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C1" w:rsidRPr="00456A74" w:rsidRDefault="009731C1" w:rsidP="009731C1">
      <w:pPr>
        <w:pStyle w:val="Tit1Sub"/>
      </w:pPr>
      <w:r w:rsidRPr="00456A74">
        <w:rPr>
          <w:caps w:val="0"/>
        </w:rPr>
        <w:t>MODELO DA PROPOSTA COMPLETA PARA MATERIAL IMPORTADO</w:t>
      </w:r>
      <w:r w:rsidRPr="00456A74">
        <w:fldChar w:fldCharType="begin"/>
      </w:r>
      <w:r w:rsidRPr="00456A74">
        <w:rPr>
          <w:caps w:val="0"/>
        </w:rPr>
        <w:instrText xml:space="preserve"> XE "ANEXO N. 3-A - MODELO DA PROPOSTA COMPLETA PARA MATERIAL IMPORTADO; S" </w:instrText>
      </w:r>
      <w:r w:rsidRPr="00456A74">
        <w:fldChar w:fldCharType="end"/>
      </w:r>
    </w:p>
    <w:p w:rsidR="009731C1" w:rsidRPr="00456A74" w:rsidRDefault="009731C1" w:rsidP="009731C1">
      <w:pPr>
        <w:jc w:val="center"/>
        <w:rPr>
          <w:b/>
        </w:rPr>
      </w:pPr>
      <w:r w:rsidRPr="00456A74">
        <w:rPr>
          <w:rFonts w:cs="Arial"/>
          <w:b/>
          <w:i/>
          <w:sz w:val="20"/>
        </w:rPr>
        <w:t xml:space="preserve">(Anexo disponível </w:t>
      </w:r>
      <w:r w:rsidRPr="00456A74">
        <w:rPr>
          <w:b/>
          <w:i/>
          <w:sz w:val="20"/>
        </w:rPr>
        <w:t xml:space="preserve">também </w:t>
      </w:r>
      <w:r w:rsidRPr="00456A74">
        <w:rPr>
          <w:rFonts w:cs="Arial"/>
          <w:b/>
          <w:i/>
          <w:sz w:val="20"/>
        </w:rPr>
        <w:t>em documento WORD (.</w:t>
      </w:r>
      <w:proofErr w:type="spellStart"/>
      <w:r w:rsidRPr="00456A74">
        <w:rPr>
          <w:rFonts w:cs="Arial"/>
          <w:b/>
          <w:i/>
          <w:sz w:val="20"/>
        </w:rPr>
        <w:t>doc</w:t>
      </w:r>
      <w:proofErr w:type="spellEnd"/>
      <w:r w:rsidRPr="00456A74">
        <w:rPr>
          <w:rFonts w:cs="Arial"/>
          <w:b/>
          <w:i/>
          <w:sz w:val="20"/>
        </w:rPr>
        <w:t>)</w:t>
      </w:r>
      <w:r w:rsidRPr="00456A74">
        <w:rPr>
          <w:b/>
          <w:i/>
          <w:sz w:val="20"/>
        </w:rPr>
        <w:t>,</w:t>
      </w:r>
      <w:r w:rsidRPr="00456A74">
        <w:rPr>
          <w:rFonts w:cs="Arial"/>
          <w:b/>
          <w:i/>
          <w:sz w:val="20"/>
        </w:rPr>
        <w:t xml:space="preserve"> para </w:t>
      </w:r>
      <w:r w:rsidRPr="00456A74">
        <w:rPr>
          <w:b/>
          <w:i/>
          <w:sz w:val="20"/>
        </w:rPr>
        <w:t>edição.)</w:t>
      </w:r>
    </w:p>
    <w:p w:rsidR="009731C1" w:rsidRPr="00456A74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</w:p>
    <w:p w:rsidR="009731C1" w:rsidRPr="00456A74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456A74">
        <w:rPr>
          <w:b/>
        </w:rPr>
        <w:t>PREGÃO ELETRÔNICO N. 131/2023</w:t>
      </w:r>
    </w:p>
    <w:p w:rsidR="009731C1" w:rsidRPr="00456A74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456A74">
        <w:t xml:space="preserve">OBJETO: </w:t>
      </w:r>
      <w:r w:rsidRPr="00456A74">
        <w:rPr>
          <w:rFonts w:cs="Arial"/>
        </w:rPr>
        <w:t>Aquisição de coletes balísticos, novos e para primeiro uso, incluindo garantia de funcionamento, pelo prazo mínimo de doze meses.</w:t>
      </w:r>
      <w:r w:rsidRPr="00456A74">
        <w:t xml:space="preserve">               </w:t>
      </w:r>
    </w:p>
    <w:p w:rsidR="009731C1" w:rsidRPr="00456A74" w:rsidRDefault="009731C1" w:rsidP="009731C1">
      <w:pPr>
        <w:jc w:val="both"/>
      </w:pPr>
      <w:r w:rsidRPr="00456A74">
        <w:t>EMPRESA: ________________________________________________________</w:t>
      </w:r>
    </w:p>
    <w:p w:rsidR="009731C1" w:rsidRPr="00456A74" w:rsidRDefault="009731C1" w:rsidP="009731C1">
      <w:pPr>
        <w:jc w:val="both"/>
      </w:pPr>
      <w:r w:rsidRPr="00456A74">
        <w:t>CNPJ: ____________________________________________________________</w:t>
      </w:r>
    </w:p>
    <w:p w:rsidR="009731C1" w:rsidRPr="00456A74" w:rsidRDefault="009731C1" w:rsidP="009731C1">
      <w:pPr>
        <w:jc w:val="both"/>
      </w:pPr>
      <w:r w:rsidRPr="00456A74">
        <w:t>ENDEREÇO: _______________________________________________________</w:t>
      </w:r>
    </w:p>
    <w:p w:rsidR="009731C1" w:rsidRPr="00456A74" w:rsidRDefault="009731C1" w:rsidP="009731C1">
      <w:pPr>
        <w:pStyle w:val="Cabealho"/>
        <w:tabs>
          <w:tab w:val="clear" w:pos="4419"/>
          <w:tab w:val="clear" w:pos="8838"/>
        </w:tabs>
      </w:pPr>
      <w:r w:rsidRPr="00456A74">
        <w:t>TELEFONE: ________________________________________________________</w:t>
      </w:r>
    </w:p>
    <w:p w:rsidR="009731C1" w:rsidRPr="00456A74" w:rsidRDefault="009731C1" w:rsidP="009731C1">
      <w:pPr>
        <w:pStyle w:val="Cabealho"/>
        <w:tabs>
          <w:tab w:val="clear" w:pos="4419"/>
          <w:tab w:val="clear" w:pos="8838"/>
        </w:tabs>
        <w:rPr>
          <w:b/>
        </w:rPr>
      </w:pPr>
      <w:r w:rsidRPr="00456A74">
        <w:t>E-MAIL: ____________________________________________________________</w:t>
      </w:r>
    </w:p>
    <w:p w:rsidR="009731C1" w:rsidRPr="00456A74" w:rsidRDefault="009731C1" w:rsidP="009731C1">
      <w:pPr>
        <w:jc w:val="both"/>
      </w:pPr>
      <w:r w:rsidRPr="00456A74">
        <w:t>À</w:t>
      </w:r>
    </w:p>
    <w:p w:rsidR="009731C1" w:rsidRPr="00456A74" w:rsidRDefault="009731C1" w:rsidP="009731C1">
      <w:pPr>
        <w:jc w:val="both"/>
      </w:pPr>
      <w:r w:rsidRPr="00456A74">
        <w:t>CÂMARA DOS DEPUTADOS</w:t>
      </w:r>
    </w:p>
    <w:p w:rsidR="009731C1" w:rsidRPr="00456A74" w:rsidRDefault="009731C1" w:rsidP="009731C1">
      <w:pPr>
        <w:pStyle w:val="WW-Corpodetexto2"/>
      </w:pPr>
      <w:r w:rsidRPr="00456A74">
        <w:t>Em atendimento ao Edital do Pregão à epígrafe, apresentamos a seguinte proposta de preços:</w:t>
      </w:r>
    </w:p>
    <w:tbl>
      <w:tblPr>
        <w:tblW w:w="160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32"/>
        <w:gridCol w:w="919"/>
        <w:gridCol w:w="1134"/>
        <w:gridCol w:w="709"/>
        <w:gridCol w:w="992"/>
        <w:gridCol w:w="992"/>
        <w:gridCol w:w="1134"/>
        <w:gridCol w:w="993"/>
        <w:gridCol w:w="1134"/>
        <w:gridCol w:w="1275"/>
        <w:gridCol w:w="1134"/>
        <w:gridCol w:w="1276"/>
        <w:gridCol w:w="1274"/>
      </w:tblGrid>
      <w:tr w:rsidR="009731C1" w:rsidRPr="00456A74" w:rsidTr="001F1FC4">
        <w:trPr>
          <w:tblHeader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lastRenderedPageBreak/>
              <w:t>GRUPO/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QUANT.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 xml:space="preserve">Câmbio </w:t>
            </w:r>
            <w:proofErr w:type="spellStart"/>
            <w:r w:rsidRPr="00456A74">
              <w:rPr>
                <w:rFonts w:cs="Arial"/>
                <w:b/>
                <w:sz w:val="20"/>
                <w:lang w:eastAsia="en-US"/>
              </w:rPr>
              <w:t>Ptax</w:t>
            </w:r>
            <w:proofErr w:type="spellEnd"/>
            <w:r w:rsidRPr="00456A74">
              <w:rPr>
                <w:rFonts w:cs="Arial"/>
                <w:b/>
                <w:sz w:val="20"/>
                <w:lang w:eastAsia="en-US"/>
              </w:rPr>
              <w:t xml:space="preserve"> venda</w:t>
            </w:r>
            <w:r w:rsidRPr="00456A74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1"/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Valor aduaneiro unitário convertido</w:t>
            </w:r>
            <w:r w:rsidRPr="00456A74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2"/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PIS</w:t>
            </w:r>
            <w:r w:rsidRPr="00456A74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3"/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COFINS</w:t>
            </w:r>
            <w:r w:rsidRPr="00456A74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4"/>
            </w:r>
            <w:r w:rsidRPr="00456A74">
              <w:rPr>
                <w:rFonts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ICMS</w:t>
            </w:r>
            <w:r w:rsidRPr="00456A74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5"/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Custo unitário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proofErr w:type="gramStart"/>
            <w:r w:rsidRPr="00456A74">
              <w:rPr>
                <w:rFonts w:cs="Arial"/>
                <w:b/>
                <w:sz w:val="20"/>
                <w:lang w:eastAsia="en-US"/>
              </w:rPr>
              <w:t>de</w:t>
            </w:r>
            <w:proofErr w:type="gramEnd"/>
            <w:r w:rsidRPr="00456A74">
              <w:rPr>
                <w:rFonts w:cs="Arial"/>
                <w:b/>
                <w:sz w:val="20"/>
                <w:lang w:eastAsia="en-US"/>
              </w:rPr>
              <w:t xml:space="preserve"> outras despesas</w:t>
            </w:r>
            <w:r w:rsidRPr="00456A74">
              <w:rPr>
                <w:rStyle w:val="Refdenotaderodap"/>
                <w:rFonts w:cs="Arial"/>
                <w:b/>
                <w:sz w:val="20"/>
                <w:lang w:eastAsia="en-US"/>
              </w:rPr>
              <w:footnoteReference w:id="6"/>
            </w:r>
            <w:r w:rsidRPr="00456A74">
              <w:rPr>
                <w:rFonts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Preço Unitário Equalizado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Preço Total Equalizado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9731C1" w:rsidRPr="00456A74" w:rsidTr="001F1FC4">
        <w:trPr>
          <w:tblHeader/>
          <w:jc w:val="center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(D)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 xml:space="preserve">= (C * </w:t>
            </w:r>
            <w:proofErr w:type="spellStart"/>
            <w:r w:rsidRPr="00456A74">
              <w:rPr>
                <w:rFonts w:cs="Arial"/>
                <w:b/>
                <w:sz w:val="20"/>
                <w:lang w:eastAsia="en-US"/>
              </w:rPr>
              <w:t>pis</w:t>
            </w:r>
            <w:proofErr w:type="spellEnd"/>
            <w:r w:rsidRPr="00456A74">
              <w:rPr>
                <w:rFonts w:cs="Arial"/>
                <w:b/>
                <w:sz w:val="20"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(E)</w:t>
            </w:r>
          </w:p>
          <w:p w:rsidR="009731C1" w:rsidRPr="00456A74" w:rsidRDefault="009731C1" w:rsidP="001F1FC4">
            <w:pPr>
              <w:rPr>
                <w:rFonts w:cs="Arial"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 xml:space="preserve">= (D * </w:t>
            </w:r>
            <w:proofErr w:type="spellStart"/>
            <w:r w:rsidRPr="00456A74">
              <w:rPr>
                <w:rFonts w:cs="Arial"/>
                <w:b/>
                <w:sz w:val="20"/>
                <w:lang w:eastAsia="en-US"/>
              </w:rPr>
              <w:t>cofins</w:t>
            </w:r>
            <w:proofErr w:type="spellEnd"/>
            <w:r w:rsidRPr="00456A74">
              <w:rPr>
                <w:rFonts w:cs="Arial"/>
                <w:b/>
                <w:sz w:val="20"/>
                <w:lang w:eastAsia="en-US"/>
              </w:rPr>
              <w:t xml:space="preserve">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(F)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= ((C+D+E)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 xml:space="preserve">/ (1- </w:t>
            </w:r>
            <w:proofErr w:type="spellStart"/>
            <w:r w:rsidRPr="00456A74">
              <w:rPr>
                <w:rFonts w:cs="Arial"/>
                <w:b/>
                <w:sz w:val="20"/>
                <w:lang w:eastAsia="en-US"/>
              </w:rPr>
              <w:t>icms</w:t>
            </w:r>
            <w:proofErr w:type="spellEnd"/>
            <w:r w:rsidRPr="00456A74">
              <w:rPr>
                <w:rFonts w:cs="Arial"/>
                <w:b/>
                <w:sz w:val="20"/>
                <w:lang w:eastAsia="en-US"/>
              </w:rPr>
              <w:t xml:space="preserve">) * </w:t>
            </w:r>
            <w:proofErr w:type="spellStart"/>
            <w:r w:rsidRPr="00456A74">
              <w:rPr>
                <w:rFonts w:cs="Arial"/>
                <w:b/>
                <w:sz w:val="20"/>
                <w:lang w:eastAsia="en-US"/>
              </w:rPr>
              <w:t>icms</w:t>
            </w:r>
            <w:proofErr w:type="spellEnd"/>
            <w:r w:rsidRPr="00456A74">
              <w:rPr>
                <w:rFonts w:cs="Arial"/>
                <w:b/>
                <w:sz w:val="20"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(H) = (C+D+E+F+G)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(I) = (H *A)</w:t>
            </w:r>
          </w:p>
        </w:tc>
      </w:tr>
      <w:tr w:rsidR="009731C1" w:rsidRPr="00456A74" w:rsidTr="001F1FC4">
        <w:trPr>
          <w:tblHeader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GRUPO ÚNICO</w:t>
            </w:r>
          </w:p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sz w:val="20"/>
                <w:lang w:eastAsia="en-US"/>
              </w:rPr>
              <w:t>(Itens 1 a 7)</w:t>
            </w:r>
          </w:p>
        </w:tc>
        <w:tc>
          <w:tcPr>
            <w:tcW w:w="14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1C1" w:rsidRPr="00456A74" w:rsidRDefault="009731C1" w:rsidP="001F1FC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56A74">
              <w:rPr>
                <w:rFonts w:cs="Arial"/>
                <w:b/>
                <w:bCs/>
                <w:noProof/>
                <w:sz w:val="20"/>
                <w:lang w:eastAsia="en-US"/>
              </w:rPr>
              <w:t>COLETE</w:t>
            </w:r>
            <w:r>
              <w:rPr>
                <w:rFonts w:cs="Arial"/>
                <w:b/>
                <w:bCs/>
                <w:noProof/>
                <w:sz w:val="20"/>
                <w:lang w:eastAsia="en-US"/>
              </w:rPr>
              <w:t>S</w:t>
            </w:r>
            <w:r w:rsidRPr="00456A74">
              <w:rPr>
                <w:rFonts w:cs="Arial"/>
                <w:b/>
                <w:bCs/>
                <w:noProof/>
                <w:sz w:val="20"/>
                <w:lang w:eastAsia="en-US"/>
              </w:rPr>
              <w:t xml:space="preserve"> BALÍSTICO</w:t>
            </w:r>
            <w:r>
              <w:rPr>
                <w:rFonts w:cs="Arial"/>
                <w:b/>
                <w:bCs/>
                <w:noProof/>
                <w:sz w:val="20"/>
                <w:lang w:eastAsia="en-US"/>
              </w:rPr>
              <w:t>S</w:t>
            </w:r>
          </w:p>
        </w:tc>
      </w:tr>
      <w:tr w:rsidR="009731C1" w:rsidRPr="00456A74" w:rsidTr="001F1FC4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C1" w:rsidRPr="00456A74" w:rsidRDefault="009731C1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PEQUENO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i/>
                <w:color w:val="000000"/>
                <w:sz w:val="16"/>
                <w:szCs w:val="16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C1" w:rsidRPr="00456A74" w:rsidRDefault="009731C1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MÉDIO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lastRenderedPageBreak/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C1" w:rsidRPr="00456A74" w:rsidRDefault="009731C1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GRANDE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C1" w:rsidRPr="00456A74" w:rsidRDefault="009731C1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MASCULINO GG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trHeight w:val="113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C1" w:rsidRPr="00456A74" w:rsidRDefault="009731C1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FEMININO PEQUENO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C1" w:rsidRPr="00456A74" w:rsidRDefault="009731C1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>COLETE BALÍSTICO MULTIAMEAÇA FEMININO MÉDIO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2,10%)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456A74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C1" w:rsidRPr="00456A74" w:rsidRDefault="009731C1" w:rsidP="001F1FC4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456A74">
              <w:rPr>
                <w:sz w:val="20"/>
              </w:rPr>
              <w:t xml:space="preserve">COLETE BALÍSTICO MULTIAMEAÇA </w:t>
            </w:r>
            <w:r w:rsidRPr="00456A74">
              <w:rPr>
                <w:sz w:val="20"/>
              </w:rPr>
              <w:lastRenderedPageBreak/>
              <w:t>FEMININO GRANDE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</w:t>
            </w:r>
            <w:r w:rsidRPr="00456A74">
              <w:rPr>
                <w:i/>
                <w:sz w:val="16"/>
                <w:szCs w:val="16"/>
              </w:rPr>
              <w:lastRenderedPageBreak/>
              <w:t>a alíquota de 2,10%)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lastRenderedPageBreak/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</w:t>
            </w:r>
            <w:r w:rsidRPr="00456A74">
              <w:rPr>
                <w:i/>
                <w:sz w:val="16"/>
                <w:szCs w:val="16"/>
              </w:rPr>
              <w:lastRenderedPageBreak/>
              <w:t>alíquota de 9,65%)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i/>
                <w:sz w:val="16"/>
                <w:szCs w:val="16"/>
              </w:rPr>
              <w:lastRenderedPageBreak/>
              <w:t>(</w:t>
            </w:r>
            <w:proofErr w:type="gramStart"/>
            <w:r w:rsidRPr="00456A74">
              <w:rPr>
                <w:i/>
                <w:sz w:val="16"/>
                <w:szCs w:val="16"/>
              </w:rPr>
              <w:t>para</w:t>
            </w:r>
            <w:proofErr w:type="gramEnd"/>
            <w:r w:rsidRPr="00456A74">
              <w:rPr>
                <w:i/>
                <w:sz w:val="16"/>
                <w:szCs w:val="16"/>
              </w:rPr>
              <w:t xml:space="preserve"> cálculo, considerar a </w:t>
            </w:r>
            <w:r w:rsidRPr="00456A74">
              <w:rPr>
                <w:i/>
                <w:sz w:val="16"/>
                <w:szCs w:val="16"/>
              </w:rPr>
              <w:lastRenderedPageBreak/>
              <w:t>alíquota de 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ind w:left="709"/>
              <w:jc w:val="right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b/>
                <w:color w:val="000000"/>
                <w:sz w:val="20"/>
                <w:lang w:eastAsia="en-US"/>
              </w:rPr>
              <w:t xml:space="preserve">PREÇO TOTAL DO GRUPO ÚNICO </w:t>
            </w:r>
            <w:r w:rsidRPr="00456A74">
              <w:rPr>
                <w:rFonts w:cs="Arial"/>
                <w:b/>
                <w:sz w:val="20"/>
                <w:lang w:eastAsia="en-US"/>
              </w:rPr>
              <w:t xml:space="preserve">R$ (J) = (∑ </w:t>
            </w:r>
            <w:proofErr w:type="gramStart"/>
            <w:r w:rsidRPr="00456A74">
              <w:rPr>
                <w:rFonts w:cs="Arial"/>
                <w:b/>
                <w:sz w:val="20"/>
                <w:lang w:eastAsia="en-US"/>
              </w:rPr>
              <w:t xml:space="preserve">I)  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6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C1" w:rsidRPr="00456A74" w:rsidRDefault="009731C1" w:rsidP="001F1FC4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456A74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9731C1" w:rsidRPr="00456A74" w:rsidRDefault="009731C1" w:rsidP="009731C1">
      <w:pPr>
        <w:pStyle w:val="WW-Corpodetexto2"/>
      </w:pPr>
    </w:p>
    <w:p w:rsidR="009731C1" w:rsidRPr="00456A74" w:rsidRDefault="009731C1" w:rsidP="009731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456A74">
        <w:rPr>
          <w:b/>
          <w:szCs w:val="24"/>
        </w:rPr>
        <w:t>Declaramos que os itens constantes desta proposta correspondem exatamente às especificações descritas no Anexo n. 1 e às condições de execução dos serviços descritas no Anexo n. 5 do Edital, às quais aderimos formalmente.</w:t>
      </w:r>
    </w:p>
    <w:p w:rsidR="009731C1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9731C1" w:rsidRPr="00456A74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56A74">
        <w:rPr>
          <w:rFonts w:cs="Arial"/>
          <w:b/>
          <w:szCs w:val="24"/>
        </w:rPr>
        <w:t xml:space="preserve">PRAZO DE VALIDADE DA PROPOSTA: </w:t>
      </w:r>
      <w:r w:rsidRPr="00456A74">
        <w:rPr>
          <w:rFonts w:cs="Arial"/>
          <w:szCs w:val="24"/>
        </w:rPr>
        <w:t>_________ (por extenso) dias (observar o disposto no Título 10 do Edital).</w:t>
      </w:r>
      <w:r w:rsidRPr="00456A7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731C1" w:rsidRPr="00456A74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FA3969">
        <w:rPr>
          <w:rFonts w:cs="Arial"/>
          <w:b/>
          <w:iCs/>
        </w:rPr>
        <w:t>PRAZO DE VALIDADE</w:t>
      </w:r>
      <w:r>
        <w:rPr>
          <w:rFonts w:cs="Arial"/>
          <w:b/>
          <w:iCs/>
        </w:rPr>
        <w:t xml:space="preserve"> DO OBJETO</w:t>
      </w:r>
      <w:r w:rsidRPr="00456A74">
        <w:rPr>
          <w:rFonts w:cs="Arial"/>
          <w:b/>
          <w:szCs w:val="24"/>
        </w:rPr>
        <w:t xml:space="preserve">: </w:t>
      </w:r>
      <w:r w:rsidRPr="00456A74">
        <w:rPr>
          <w:rFonts w:cs="Arial"/>
          <w:szCs w:val="24"/>
        </w:rPr>
        <w:t>___________ (por extenso) anos (observar o disposto no Anexo n. 1 do Edital).</w:t>
      </w:r>
      <w:r w:rsidRPr="00456A7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731C1" w:rsidRPr="00456A74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56A74">
        <w:rPr>
          <w:rFonts w:cs="Arial"/>
          <w:b/>
          <w:szCs w:val="24"/>
        </w:rPr>
        <w:t xml:space="preserve">PRAZO DE GARANTIA DO OBJETO: </w:t>
      </w:r>
      <w:r w:rsidRPr="00456A74">
        <w:rPr>
          <w:rFonts w:cs="Arial"/>
          <w:szCs w:val="24"/>
        </w:rPr>
        <w:t>___________ (por extenso) meses (observar o disposto no Anexo n. 1 do Edital).</w:t>
      </w:r>
      <w:r w:rsidRPr="00456A7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731C1" w:rsidRDefault="009731C1" w:rsidP="009731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56A74">
        <w:rPr>
          <w:rFonts w:cs="Arial"/>
          <w:b/>
          <w:szCs w:val="24"/>
        </w:rPr>
        <w:t>PRAZO DE ENTREGA DO OBJETO:</w:t>
      </w:r>
      <w:r w:rsidRPr="00456A74">
        <w:rPr>
          <w:rFonts w:cs="Arial"/>
          <w:szCs w:val="24"/>
        </w:rPr>
        <w:t xml:space="preserve"> _________ (por extenso) dias (observar o disposto no Anexo n. 1 do Edital).</w:t>
      </w:r>
    </w:p>
    <w:p w:rsidR="009731C1" w:rsidRPr="00456A74" w:rsidRDefault="009731C1" w:rsidP="009731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731C1" w:rsidRPr="00456A74" w:rsidRDefault="009731C1" w:rsidP="00973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456A74">
        <w:rPr>
          <w:rFonts w:cs="Arial"/>
          <w:b/>
          <w:sz w:val="20"/>
        </w:rPr>
        <w:t xml:space="preserve">É OBRIGATÓRIA A COMPROVAÇÃO A QUE SE REFERE O </w:t>
      </w:r>
      <w:r w:rsidRPr="00456A74">
        <w:rPr>
          <w:rFonts w:cs="Arial"/>
          <w:b/>
          <w:sz w:val="20"/>
          <w:u w:val="single"/>
        </w:rPr>
        <w:t>SUBITEM 4.7.3</w:t>
      </w:r>
      <w:r w:rsidRPr="00456A74">
        <w:rPr>
          <w:rFonts w:cs="Arial"/>
          <w:b/>
          <w:sz w:val="20"/>
        </w:rPr>
        <w:t xml:space="preserve"> DO TÍTULO 4 DO EDITAL.</w:t>
      </w:r>
    </w:p>
    <w:p w:rsidR="009731C1" w:rsidRPr="00456A74" w:rsidRDefault="009731C1" w:rsidP="00973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129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8307"/>
      </w:tblGrid>
      <w:tr w:rsidR="009731C1" w:rsidRPr="00456A74" w:rsidTr="001F1FC4">
        <w:trPr>
          <w:trHeight w:val="470"/>
          <w:tblHeader/>
          <w:jc w:val="center"/>
        </w:trPr>
        <w:tc>
          <w:tcPr>
            <w:tcW w:w="12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731C1" w:rsidRPr="00456A74" w:rsidRDefault="009731C1" w:rsidP="001F1FC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56A74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9731C1" w:rsidRPr="00456A74" w:rsidTr="001F1FC4">
        <w:trPr>
          <w:trHeight w:val="403"/>
          <w:jc w:val="center"/>
        </w:trPr>
        <w:tc>
          <w:tcPr>
            <w:tcW w:w="4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1C1" w:rsidRPr="00456A74" w:rsidRDefault="009731C1" w:rsidP="001F1FC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456A74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1C1" w:rsidRPr="00456A74" w:rsidRDefault="009731C1" w:rsidP="001F1FC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731C1" w:rsidRPr="00456A74" w:rsidTr="001F1FC4">
        <w:trPr>
          <w:trHeight w:val="423"/>
          <w:jc w:val="center"/>
        </w:trPr>
        <w:tc>
          <w:tcPr>
            <w:tcW w:w="4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1C1" w:rsidRPr="00456A74" w:rsidRDefault="009731C1" w:rsidP="001F1FC4">
            <w:pPr>
              <w:autoSpaceDE w:val="0"/>
              <w:autoSpaceDN w:val="0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>Cargo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1C1" w:rsidRPr="00456A74" w:rsidRDefault="009731C1" w:rsidP="001F1FC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4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1C1" w:rsidRPr="00456A74" w:rsidRDefault="009731C1" w:rsidP="001F1FC4">
            <w:pPr>
              <w:autoSpaceDE w:val="0"/>
              <w:autoSpaceDN w:val="0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 xml:space="preserve">Qualificação </w:t>
            </w:r>
          </w:p>
          <w:p w:rsidR="009731C1" w:rsidRPr="00456A74" w:rsidRDefault="009731C1" w:rsidP="001F1FC4">
            <w:pPr>
              <w:autoSpaceDE w:val="0"/>
              <w:autoSpaceDN w:val="0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>(</w:t>
            </w:r>
            <w:proofErr w:type="gramStart"/>
            <w:r w:rsidRPr="00456A74">
              <w:rPr>
                <w:rFonts w:cs="Arial"/>
                <w:sz w:val="20"/>
              </w:rPr>
              <w:t>naturalidade</w:t>
            </w:r>
            <w:proofErr w:type="gramEnd"/>
            <w:r w:rsidRPr="00456A74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1C1" w:rsidRPr="00456A74" w:rsidRDefault="009731C1" w:rsidP="001F1FC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731C1" w:rsidRPr="00456A74" w:rsidTr="001F1FC4">
        <w:trPr>
          <w:jc w:val="center"/>
        </w:trPr>
        <w:tc>
          <w:tcPr>
            <w:tcW w:w="129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731C1" w:rsidRPr="00456A74" w:rsidRDefault="009731C1" w:rsidP="001F1FC4">
            <w:pPr>
              <w:snapToGrid w:val="0"/>
              <w:jc w:val="both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456A74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456A74">
              <w:rPr>
                <w:rFonts w:cs="Arial"/>
                <w:sz w:val="20"/>
              </w:rPr>
              <w:t xml:space="preserve"> em nome da empresa. </w:t>
            </w:r>
          </w:p>
          <w:p w:rsidR="009731C1" w:rsidRPr="00456A74" w:rsidRDefault="009731C1" w:rsidP="001F1FC4">
            <w:pPr>
              <w:snapToGrid w:val="0"/>
              <w:jc w:val="both"/>
              <w:rPr>
                <w:rFonts w:cs="Arial"/>
                <w:sz w:val="20"/>
              </w:rPr>
            </w:pPr>
            <w:r w:rsidRPr="00456A74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731C1" w:rsidRPr="00456A74" w:rsidRDefault="009731C1" w:rsidP="009731C1">
      <w:pPr>
        <w:jc w:val="center"/>
      </w:pPr>
    </w:p>
    <w:p w:rsidR="009731C1" w:rsidRPr="00456A74" w:rsidRDefault="009731C1" w:rsidP="009731C1">
      <w:pPr>
        <w:jc w:val="center"/>
      </w:pPr>
    </w:p>
    <w:p w:rsidR="009731C1" w:rsidRDefault="009731C1" w:rsidP="009731C1">
      <w:pPr>
        <w:jc w:val="center"/>
      </w:pPr>
      <w:proofErr w:type="gramStart"/>
      <w:r w:rsidRPr="00456A74">
        <w:t xml:space="preserve">Brasília,   </w:t>
      </w:r>
      <w:proofErr w:type="gramEnd"/>
      <w:r w:rsidRPr="00456A74">
        <w:t xml:space="preserve">  de                     </w:t>
      </w:r>
      <w:proofErr w:type="spellStart"/>
      <w:r w:rsidRPr="00456A74">
        <w:t>de</w:t>
      </w:r>
      <w:proofErr w:type="spellEnd"/>
      <w:r w:rsidRPr="00456A74">
        <w:t xml:space="preserve"> 2023.</w:t>
      </w:r>
    </w:p>
    <w:p w:rsidR="009731C1" w:rsidRPr="00456A74" w:rsidRDefault="009731C1" w:rsidP="009731C1">
      <w:pPr>
        <w:jc w:val="center"/>
      </w:pPr>
    </w:p>
    <w:p w:rsidR="009731C1" w:rsidRPr="00456A74" w:rsidRDefault="009731C1" w:rsidP="009731C1">
      <w:pPr>
        <w:jc w:val="center"/>
      </w:pPr>
    </w:p>
    <w:p w:rsidR="009731C1" w:rsidRPr="00456A74" w:rsidRDefault="009731C1" w:rsidP="009731C1">
      <w:pPr>
        <w:jc w:val="center"/>
        <w:rPr>
          <w:b/>
        </w:rPr>
      </w:pPr>
      <w:r w:rsidRPr="00456A74">
        <w:t>______________________________</w:t>
      </w:r>
    </w:p>
    <w:p w:rsidR="009731C1" w:rsidRDefault="009731C1" w:rsidP="009731C1">
      <w:pPr>
        <w:jc w:val="center"/>
      </w:pPr>
      <w:r w:rsidRPr="00456A74">
        <w:t>Assinatura do representante legal da empresa</w:t>
      </w:r>
    </w:p>
    <w:p w:rsidR="009731C1" w:rsidRPr="00456A74" w:rsidRDefault="009731C1" w:rsidP="009731C1">
      <w:pPr>
        <w:jc w:val="center"/>
        <w:rPr>
          <w:b/>
        </w:rPr>
      </w:pPr>
      <w:bookmarkStart w:id="0" w:name="_GoBack"/>
      <w:bookmarkEnd w:id="0"/>
    </w:p>
    <w:p w:rsidR="009731C1" w:rsidRDefault="009731C1" w:rsidP="009731C1">
      <w:pPr>
        <w:jc w:val="center"/>
      </w:pPr>
      <w:r w:rsidRPr="00456A74">
        <w:t>________________________________</w:t>
      </w:r>
    </w:p>
    <w:p w:rsidR="009731C1" w:rsidRPr="00456A74" w:rsidRDefault="009731C1" w:rsidP="009731C1">
      <w:pPr>
        <w:jc w:val="center"/>
      </w:pPr>
    </w:p>
    <w:p w:rsidR="009731C1" w:rsidRPr="00456A74" w:rsidRDefault="009731C1" w:rsidP="009731C1">
      <w:pPr>
        <w:jc w:val="center"/>
        <w:rPr>
          <w:b/>
        </w:rPr>
      </w:pPr>
      <w:r w:rsidRPr="00456A74">
        <w:t>Nome do representante legal da empresa</w:t>
      </w:r>
    </w:p>
    <w:sectPr w:rsidR="009731C1" w:rsidRPr="00456A74" w:rsidSect="009731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C1" w:rsidRDefault="009731C1" w:rsidP="009731C1">
      <w:r>
        <w:separator/>
      </w:r>
    </w:p>
  </w:endnote>
  <w:endnote w:type="continuationSeparator" w:id="0">
    <w:p w:rsidR="009731C1" w:rsidRDefault="009731C1" w:rsidP="0097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C1" w:rsidRDefault="009731C1" w:rsidP="009731C1">
      <w:r>
        <w:separator/>
      </w:r>
    </w:p>
  </w:footnote>
  <w:footnote w:type="continuationSeparator" w:id="0">
    <w:p w:rsidR="009731C1" w:rsidRDefault="009731C1" w:rsidP="009731C1">
      <w:r>
        <w:continuationSeparator/>
      </w:r>
    </w:p>
  </w:footnote>
  <w:footnote w:id="1">
    <w:p w:rsidR="009731C1" w:rsidRPr="007F0630" w:rsidRDefault="009731C1" w:rsidP="009731C1">
      <w:pPr>
        <w:pStyle w:val="Textodenotaderodap"/>
        <w:jc w:val="both"/>
        <w:rPr>
          <w:i/>
          <w:sz w:val="18"/>
          <w:szCs w:val="18"/>
        </w:rPr>
      </w:pPr>
      <w:r w:rsidRPr="007F0630">
        <w:rPr>
          <w:rStyle w:val="Refdenotaderodap"/>
          <w:i/>
          <w:sz w:val="18"/>
          <w:szCs w:val="18"/>
        </w:rPr>
        <w:footnoteRef/>
      </w:r>
      <w:r w:rsidRPr="007F0630">
        <w:rPr>
          <w:i/>
          <w:sz w:val="18"/>
          <w:szCs w:val="18"/>
        </w:rPr>
        <w:t xml:space="preserve"> A taxa de câmbio de referência do dólar dos Estados Unidos, conhecida no mercado como a taxa PTAX, que corresponde à média aritmética das taxas obtidas em quatro consultas diárias aos </w:t>
      </w:r>
      <w:proofErr w:type="spellStart"/>
      <w:r w:rsidRPr="007F0630">
        <w:rPr>
          <w:i/>
          <w:sz w:val="18"/>
          <w:szCs w:val="18"/>
        </w:rPr>
        <w:t>dealers</w:t>
      </w:r>
      <w:proofErr w:type="spellEnd"/>
      <w:r w:rsidRPr="007F0630">
        <w:rPr>
          <w:i/>
          <w:sz w:val="18"/>
          <w:szCs w:val="18"/>
        </w:rPr>
        <w:t xml:space="preserve"> de câmbio. No caso será considerada a última taxa PTAX de venda disponível em data anterior à da abertura do Pregão. (Fonte: https://www.bcb.gov.br/pec/sdds/port/taxacambio_p.htm).</w:t>
      </w:r>
    </w:p>
  </w:footnote>
  <w:footnote w:id="2">
    <w:p w:rsidR="009731C1" w:rsidRPr="007F0630" w:rsidRDefault="009731C1" w:rsidP="009731C1">
      <w:pPr>
        <w:pStyle w:val="Textodenotaderodap"/>
        <w:jc w:val="both"/>
        <w:rPr>
          <w:i/>
          <w:sz w:val="18"/>
          <w:szCs w:val="18"/>
        </w:rPr>
      </w:pPr>
      <w:r w:rsidRPr="007F0630">
        <w:rPr>
          <w:rStyle w:val="Refdenotaderodap"/>
          <w:i/>
          <w:sz w:val="18"/>
          <w:szCs w:val="18"/>
        </w:rPr>
        <w:footnoteRef/>
      </w:r>
      <w:r w:rsidRPr="007F0630">
        <w:rPr>
          <w:i/>
          <w:sz w:val="18"/>
          <w:szCs w:val="18"/>
        </w:rPr>
        <w:t xml:space="preserve"> O Valor Aduaneiro Unitário Convertido corresponde ao preço unitário do produto apresentado em moeda estrangeira após a conversão para moeda brasileira (o Real). (Fonte: http://www4.receita.fazenda.gov.br/simulador/glossario.html)</w:t>
      </w:r>
    </w:p>
  </w:footnote>
  <w:footnote w:id="3">
    <w:p w:rsidR="009731C1" w:rsidRPr="007F0630" w:rsidRDefault="009731C1" w:rsidP="009731C1">
      <w:pPr>
        <w:pStyle w:val="Textodenotaderodap"/>
        <w:jc w:val="both"/>
        <w:rPr>
          <w:i/>
          <w:sz w:val="18"/>
          <w:szCs w:val="18"/>
        </w:rPr>
      </w:pPr>
      <w:r w:rsidRPr="007F0630">
        <w:rPr>
          <w:rStyle w:val="Refdenotaderodap"/>
          <w:i/>
          <w:sz w:val="18"/>
          <w:szCs w:val="18"/>
        </w:rPr>
        <w:footnoteRef/>
      </w:r>
      <w:r w:rsidRPr="007F0630">
        <w:rPr>
          <w:i/>
          <w:sz w:val="18"/>
          <w:szCs w:val="18"/>
        </w:rPr>
        <w:t xml:space="preserve">  O PIS é tributo de competência federal para financiamento da seguridade social. A base de cálculo para a equalização será o valor aduaneiro das mercadorias importadas.</w:t>
      </w:r>
    </w:p>
  </w:footnote>
  <w:footnote w:id="4">
    <w:p w:rsidR="009731C1" w:rsidRPr="007F0630" w:rsidRDefault="009731C1" w:rsidP="009731C1">
      <w:pPr>
        <w:pStyle w:val="Textodenotaderodap"/>
        <w:jc w:val="both"/>
        <w:rPr>
          <w:i/>
          <w:sz w:val="18"/>
          <w:szCs w:val="18"/>
        </w:rPr>
      </w:pPr>
      <w:r w:rsidRPr="007F0630">
        <w:rPr>
          <w:rStyle w:val="Refdenotaderodap"/>
          <w:i/>
          <w:sz w:val="18"/>
          <w:szCs w:val="18"/>
        </w:rPr>
        <w:footnoteRef/>
      </w:r>
      <w:r w:rsidRPr="007F0630">
        <w:rPr>
          <w:i/>
          <w:sz w:val="18"/>
          <w:szCs w:val="18"/>
        </w:rPr>
        <w:t xml:space="preserve"> A COFINS é tributo de competência federal para financiamento da seguridade social. A base de cálculo para a equalização será o valor aduaneiro das mercadorias importadas.</w:t>
      </w:r>
    </w:p>
  </w:footnote>
  <w:footnote w:id="5">
    <w:p w:rsidR="009731C1" w:rsidRPr="007F0630" w:rsidRDefault="009731C1" w:rsidP="009731C1">
      <w:pPr>
        <w:pStyle w:val="Textodenotaderodap"/>
        <w:jc w:val="both"/>
        <w:rPr>
          <w:i/>
          <w:sz w:val="18"/>
          <w:szCs w:val="18"/>
        </w:rPr>
      </w:pPr>
      <w:r w:rsidRPr="007F0630">
        <w:rPr>
          <w:rStyle w:val="Refdenotaderodap"/>
          <w:i/>
          <w:sz w:val="18"/>
          <w:szCs w:val="18"/>
        </w:rPr>
        <w:footnoteRef/>
      </w:r>
      <w:r w:rsidRPr="007F0630">
        <w:rPr>
          <w:i/>
          <w:sz w:val="18"/>
          <w:szCs w:val="18"/>
        </w:rPr>
        <w:t xml:space="preserve"> O ICMS - Imposto sobre Operações relativas à Circulação de Mercadorias e sobre Prestações de Serviços de Transporte Interestadual e Intermunicipal e de Comunicação - é um tributo de competência de cada Estados e do Distrito Federal, incidindo sobre o valor final da operação. Será adotado o ICMS de 25%, correspondente à alíquota no Distrito Federal, sede da Contratante, conforme definido nos artigos 18 da Lei n. 1.254, de 1996 e 46 do Decreto n.  18.955, de 1997.</w:t>
      </w:r>
    </w:p>
  </w:footnote>
  <w:footnote w:id="6">
    <w:p w:rsidR="009731C1" w:rsidRPr="007F0630" w:rsidRDefault="009731C1" w:rsidP="009731C1">
      <w:pPr>
        <w:pStyle w:val="Textodenotaderodap"/>
        <w:jc w:val="both"/>
        <w:rPr>
          <w:i/>
          <w:sz w:val="18"/>
          <w:szCs w:val="18"/>
        </w:rPr>
      </w:pPr>
      <w:r w:rsidRPr="007F0630">
        <w:rPr>
          <w:rStyle w:val="Refdenotaderodap"/>
          <w:sz w:val="18"/>
          <w:szCs w:val="18"/>
        </w:rPr>
        <w:footnoteRef/>
      </w:r>
      <w:r w:rsidRPr="007F0630">
        <w:rPr>
          <w:sz w:val="18"/>
          <w:szCs w:val="18"/>
        </w:rPr>
        <w:t xml:space="preserve"> </w:t>
      </w:r>
      <w:r w:rsidRPr="007F0630">
        <w:rPr>
          <w:i/>
          <w:sz w:val="18"/>
          <w:szCs w:val="18"/>
        </w:rPr>
        <w:t>No campo Outras Despesas deverá ser informado o custo unitário relacionado a serviços que não compõem o valor aduaneiro, e devem ser comparáveis com os valores praticados no mercado, sendo necessário discriminá-los individualmente, tais como: abertura de carta de crédito, desembaraço, armazenagem, capatazia, estiva e arqueação, frete interno, seguro interno, incluindo outros impostos e taxas pertinentes.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060C399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3432"/>
        </w:tabs>
        <w:ind w:left="2411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C1"/>
    <w:rsid w:val="00061FF2"/>
    <w:rsid w:val="003A770E"/>
    <w:rsid w:val="009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C6BA7-E3D6-46F9-843E-9B5A37F1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731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731C1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731C1"/>
    <w:pPr>
      <w:suppressAutoHyphens/>
      <w:jc w:val="both"/>
    </w:pPr>
  </w:style>
  <w:style w:type="paragraph" w:customStyle="1" w:styleId="Tit2n">
    <w:name w:val="Tit2n"/>
    <w:uiPriority w:val="99"/>
    <w:qFormat/>
    <w:rsid w:val="009731C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731C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9731C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rsid w:val="009731C1"/>
    <w:pPr>
      <w:numPr>
        <w:ilvl w:val="3"/>
        <w:numId w:val="1"/>
      </w:numPr>
      <w:shd w:val="clear" w:color="auto" w:fill="FFFFFF"/>
      <w:tabs>
        <w:tab w:val="clear" w:pos="3432"/>
        <w:tab w:val="num" w:pos="1134"/>
      </w:tabs>
      <w:spacing w:before="6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9731C1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9731C1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731C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31C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31C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73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2023-11-21T11:58:00Z</dcterms:created>
  <dcterms:modified xsi:type="dcterms:W3CDTF">2023-11-21T12:00:00Z</dcterms:modified>
</cp:coreProperties>
</file>