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364" w:rsidRPr="00030364" w:rsidRDefault="00030364" w:rsidP="00030364">
      <w:pPr>
        <w:tabs>
          <w:tab w:val="num" w:pos="0"/>
        </w:tabs>
        <w:spacing w:before="60" w:after="60" w:line="240" w:lineRule="auto"/>
        <w:jc w:val="center"/>
        <w:rPr>
          <w:rFonts w:ascii="Arial" w:eastAsia="Calibri" w:hAnsi="Arial" w:cs="Arial"/>
          <w:caps/>
          <w:sz w:val="24"/>
          <w:szCs w:val="24"/>
        </w:rPr>
      </w:pPr>
      <w:bookmarkStart w:id="0" w:name="_GoBack"/>
      <w:bookmarkEnd w:id="0"/>
      <w:r w:rsidRPr="00030364">
        <w:rPr>
          <w:rFonts w:ascii="Arial" w:eastAsia="Calibri" w:hAnsi="Arial" w:cs="Arial"/>
          <w:b/>
          <w:caps/>
          <w:sz w:val="24"/>
          <w:szCs w:val="24"/>
        </w:rPr>
        <w:t>MODELO DA PROPOSTA COMPLETA</w:t>
      </w:r>
      <w:r w:rsidRPr="00030364">
        <w:rPr>
          <w:rFonts w:ascii="Arial" w:eastAsia="Calibri" w:hAnsi="Arial" w:cs="Arial"/>
          <w:caps/>
          <w:sz w:val="24"/>
          <w:szCs w:val="24"/>
        </w:rPr>
        <w:fldChar w:fldCharType="begin"/>
      </w:r>
      <w:r w:rsidRPr="00030364">
        <w:rPr>
          <w:rFonts w:ascii="Arial" w:eastAsia="Calibri" w:hAnsi="Arial" w:cs="Arial"/>
          <w:b/>
          <w:caps/>
          <w:sz w:val="24"/>
          <w:szCs w:val="24"/>
        </w:rPr>
        <w:instrText xml:space="preserve"> XE "ANEXO N. 4 - MODELO DA PROPOSTA COMPLETA; s"</w:instrText>
      </w:r>
      <w:r w:rsidRPr="00030364">
        <w:rPr>
          <w:rFonts w:ascii="Arial" w:eastAsia="Calibri" w:hAnsi="Arial" w:cs="Arial"/>
          <w:caps/>
          <w:sz w:val="24"/>
          <w:szCs w:val="24"/>
        </w:rPr>
        <w:fldChar w:fldCharType="end"/>
      </w:r>
    </w:p>
    <w:p w:rsidR="00030364" w:rsidRPr="00030364" w:rsidRDefault="00030364" w:rsidP="00030364">
      <w:pPr>
        <w:tabs>
          <w:tab w:val="num" w:pos="0"/>
        </w:tabs>
        <w:spacing w:before="60" w:after="60" w:line="240" w:lineRule="auto"/>
        <w:jc w:val="center"/>
        <w:rPr>
          <w:rFonts w:ascii="Arial" w:eastAsia="Calibri" w:hAnsi="Arial" w:cs="Arial"/>
          <w:b/>
          <w:i/>
          <w:caps/>
          <w:sz w:val="20"/>
          <w:szCs w:val="20"/>
        </w:rPr>
      </w:pPr>
      <w:r w:rsidRPr="00030364">
        <w:rPr>
          <w:rFonts w:ascii="Arial" w:eastAsia="Calibri" w:hAnsi="Arial" w:cs="Arial"/>
          <w:b/>
          <w:i/>
          <w:caps/>
          <w:sz w:val="20"/>
          <w:szCs w:val="20"/>
        </w:rPr>
        <w:t>(Anexo disponível também em documento WORD (.doc), para edição.)</w:t>
      </w:r>
    </w:p>
    <w:p w:rsidR="00030364" w:rsidRPr="00030364" w:rsidRDefault="00030364" w:rsidP="00030364">
      <w:pPr>
        <w:spacing w:after="0" w:line="240" w:lineRule="auto"/>
        <w:jc w:val="center"/>
        <w:rPr>
          <w:rFonts w:ascii="Arial" w:eastAsia="Times New Roman" w:hAnsi="Arial" w:cs="Times New Roman"/>
          <w:b/>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030364">
        <w:rPr>
          <w:rFonts w:ascii="Arial" w:eastAsia="Times New Roman" w:hAnsi="Arial" w:cs="Times New Roman"/>
          <w:b/>
          <w:sz w:val="24"/>
          <w:szCs w:val="20"/>
          <w:lang w:eastAsia="pt-BR"/>
        </w:rPr>
        <w:t>PREGÃO ELETRÔNICO N. 133/22</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4"/>
          <w:lang w:eastAsia="pt-BR"/>
        </w:rPr>
      </w:pPr>
      <w:r w:rsidRPr="00030364">
        <w:rPr>
          <w:rFonts w:ascii="Arial" w:eastAsia="Times New Roman" w:hAnsi="Arial" w:cs="Times New Roman"/>
          <w:sz w:val="24"/>
          <w:szCs w:val="20"/>
          <w:lang w:eastAsia="pt-BR"/>
        </w:rPr>
        <w:t xml:space="preserve">OBJETO: </w:t>
      </w:r>
      <w:r w:rsidRPr="00030364">
        <w:rPr>
          <w:rFonts w:ascii="Arial" w:eastAsia="Times New Roman" w:hAnsi="Arial" w:cs="Arial"/>
          <w:sz w:val="24"/>
          <w:szCs w:val="24"/>
          <w:lang w:eastAsia="pt-BR"/>
        </w:rPr>
        <w:t>Fornecimento, mediante Sistema de Registro de Preços, de microcomputadores desktop, novos e para primeiro uso, incluindo garantia de funcionamento pelo período mínimo de 60 (sessenta) meses.</w:t>
      </w:r>
    </w:p>
    <w:p w:rsidR="00030364" w:rsidRPr="00030364" w:rsidRDefault="00030364" w:rsidP="00030364">
      <w:pPr>
        <w:spacing w:after="0" w:line="240" w:lineRule="auto"/>
        <w:jc w:val="both"/>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EMPRESA: ________________________________________________________</w:t>
      </w:r>
    </w:p>
    <w:p w:rsidR="00030364" w:rsidRPr="00030364" w:rsidRDefault="00030364" w:rsidP="00030364">
      <w:pPr>
        <w:spacing w:after="0" w:line="240" w:lineRule="auto"/>
        <w:jc w:val="both"/>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CNPJ: ____________________________________________________________</w:t>
      </w:r>
    </w:p>
    <w:p w:rsidR="00030364" w:rsidRPr="00030364" w:rsidRDefault="00030364" w:rsidP="00030364">
      <w:pPr>
        <w:spacing w:after="0" w:line="240" w:lineRule="auto"/>
        <w:jc w:val="both"/>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ENDEREÇO: _______________________________________________________</w:t>
      </w:r>
    </w:p>
    <w:p w:rsidR="00030364" w:rsidRPr="00030364" w:rsidRDefault="00030364" w:rsidP="00030364">
      <w:pPr>
        <w:spacing w:after="0" w:line="240" w:lineRule="auto"/>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TELEFONE: ________________________________________________________</w:t>
      </w:r>
    </w:p>
    <w:p w:rsidR="00030364" w:rsidRPr="00030364" w:rsidRDefault="00030364" w:rsidP="00030364">
      <w:pPr>
        <w:spacing w:after="0" w:line="240" w:lineRule="auto"/>
        <w:rPr>
          <w:rFonts w:ascii="Arial" w:eastAsia="Times New Roman" w:hAnsi="Arial" w:cs="Times New Roman"/>
          <w:b/>
          <w:sz w:val="24"/>
          <w:szCs w:val="20"/>
          <w:lang w:eastAsia="pt-BR"/>
        </w:rPr>
      </w:pPr>
      <w:r w:rsidRPr="00030364">
        <w:rPr>
          <w:rFonts w:ascii="Arial" w:eastAsia="Times New Roman" w:hAnsi="Arial" w:cs="Times New Roman"/>
          <w:sz w:val="24"/>
          <w:szCs w:val="20"/>
          <w:lang w:eastAsia="pt-BR"/>
        </w:rPr>
        <w:t>E-MAIL: ____________________________________________________________</w:t>
      </w:r>
    </w:p>
    <w:p w:rsidR="00030364" w:rsidRPr="00030364" w:rsidRDefault="00030364" w:rsidP="00030364">
      <w:pPr>
        <w:spacing w:after="0" w:line="240" w:lineRule="auto"/>
        <w:jc w:val="both"/>
        <w:rPr>
          <w:rFonts w:ascii="Arial" w:eastAsia="Times New Roman" w:hAnsi="Arial" w:cs="Times New Roman"/>
          <w:sz w:val="24"/>
          <w:szCs w:val="20"/>
          <w:lang w:eastAsia="pt-BR"/>
        </w:rPr>
      </w:pPr>
    </w:p>
    <w:p w:rsidR="00030364" w:rsidRPr="00030364" w:rsidRDefault="00030364" w:rsidP="00030364">
      <w:pPr>
        <w:spacing w:after="0" w:line="240" w:lineRule="auto"/>
        <w:jc w:val="both"/>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À</w:t>
      </w:r>
    </w:p>
    <w:p w:rsidR="00030364" w:rsidRPr="00030364" w:rsidRDefault="00030364" w:rsidP="00030364">
      <w:pPr>
        <w:spacing w:after="0" w:line="240" w:lineRule="auto"/>
        <w:jc w:val="both"/>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CÂMARA DOS DEPUTADOS</w:t>
      </w:r>
    </w:p>
    <w:p w:rsidR="00030364" w:rsidRPr="00030364" w:rsidRDefault="00030364" w:rsidP="00030364">
      <w:pPr>
        <w:spacing w:after="0" w:line="240" w:lineRule="auto"/>
        <w:jc w:val="both"/>
        <w:rPr>
          <w:rFonts w:ascii="Arial" w:eastAsia="Times New Roman" w:hAnsi="Arial" w:cs="Times New Roman"/>
          <w:sz w:val="24"/>
          <w:szCs w:val="20"/>
          <w:lang w:eastAsia="pt-BR"/>
        </w:rPr>
      </w:pPr>
    </w:p>
    <w:p w:rsidR="00030364" w:rsidRPr="00030364" w:rsidRDefault="00030364" w:rsidP="00030364">
      <w:pPr>
        <w:suppressAutoHyphens/>
        <w:spacing w:after="0" w:line="240" w:lineRule="auto"/>
        <w:jc w:val="both"/>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Em atendimento ao Edital do Pregão à epígrafe, apresentamos a seguinte proposta de preços:</w:t>
      </w:r>
    </w:p>
    <w:p w:rsidR="00030364" w:rsidRPr="00030364" w:rsidRDefault="00030364" w:rsidP="00030364">
      <w:pPr>
        <w:suppressAutoHyphens/>
        <w:spacing w:after="0" w:line="240" w:lineRule="auto"/>
        <w:jc w:val="both"/>
        <w:rPr>
          <w:rFonts w:ascii="Arial" w:eastAsia="Times New Roman" w:hAnsi="Arial" w:cs="Times New Roman"/>
          <w:sz w:val="24"/>
          <w:szCs w:val="20"/>
          <w:lang w:eastAsia="pt-BR"/>
        </w:rPr>
      </w:pPr>
    </w:p>
    <w:tbl>
      <w:tblPr>
        <w:tblW w:w="10343"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17"/>
        <w:gridCol w:w="1984"/>
        <w:gridCol w:w="1134"/>
        <w:gridCol w:w="992"/>
        <w:gridCol w:w="1560"/>
        <w:gridCol w:w="425"/>
        <w:gridCol w:w="992"/>
        <w:gridCol w:w="1144"/>
        <w:gridCol w:w="1195"/>
      </w:tblGrid>
      <w:tr w:rsidR="00030364" w:rsidRPr="00030364" w:rsidTr="00030364">
        <w:trPr>
          <w:tblHeader/>
          <w:jc w:val="center"/>
        </w:trPr>
        <w:tc>
          <w:tcPr>
            <w:tcW w:w="917" w:type="dxa"/>
            <w:tcBorders>
              <w:top w:val="single" w:sz="4" w:space="0" w:color="auto"/>
              <w:left w:val="single" w:sz="4" w:space="0" w:color="auto"/>
              <w:bottom w:val="single" w:sz="4" w:space="0" w:color="auto"/>
              <w:right w:val="single" w:sz="4" w:space="0" w:color="auto"/>
            </w:tcBorders>
            <w:shd w:val="clear" w:color="auto" w:fill="D9D9D9"/>
            <w:vAlign w:val="center"/>
          </w:tcPr>
          <w:p w:rsidR="00030364" w:rsidRPr="00030364" w:rsidRDefault="00030364" w:rsidP="00030364">
            <w:pPr>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ITEM</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030364" w:rsidRPr="00030364" w:rsidRDefault="00030364" w:rsidP="00030364">
            <w:pPr>
              <w:suppressAutoHyphens/>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030364" w:rsidRPr="00030364" w:rsidRDefault="00030364" w:rsidP="00030364">
            <w:pPr>
              <w:suppressAutoHyphens/>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MARCA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30364" w:rsidRPr="00030364" w:rsidRDefault="00030364" w:rsidP="00030364">
            <w:pPr>
              <w:suppressAutoHyphens/>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MODELO</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030364" w:rsidRPr="00030364" w:rsidRDefault="00030364" w:rsidP="00030364">
            <w:pPr>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18"/>
                <w:lang w:eastAsia="pt-BR"/>
              </w:rPr>
              <w:t>Indicar a origem do produto (nacional ou importado)</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rsidR="00030364" w:rsidRPr="00030364" w:rsidRDefault="00030364" w:rsidP="00030364">
            <w:pPr>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30364" w:rsidRPr="00030364" w:rsidRDefault="00030364" w:rsidP="00030364">
            <w:pPr>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QUANT.</w:t>
            </w:r>
          </w:p>
        </w:tc>
        <w:tc>
          <w:tcPr>
            <w:tcW w:w="1144" w:type="dxa"/>
            <w:tcBorders>
              <w:top w:val="single" w:sz="4" w:space="0" w:color="auto"/>
              <w:left w:val="single" w:sz="4" w:space="0" w:color="auto"/>
              <w:bottom w:val="single" w:sz="4" w:space="0" w:color="auto"/>
              <w:right w:val="single" w:sz="4" w:space="0" w:color="auto"/>
            </w:tcBorders>
            <w:shd w:val="clear" w:color="auto" w:fill="D9D9D9"/>
            <w:vAlign w:val="center"/>
          </w:tcPr>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PREÇO UNITÁRIO</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tcPr>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PREÇO TOTAL</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b/>
                <w:sz w:val="20"/>
                <w:lang w:eastAsia="pt-BR"/>
              </w:rPr>
            </w:pPr>
            <w:r w:rsidRPr="00030364">
              <w:rPr>
                <w:rFonts w:ascii="Arial" w:eastAsia="Times New Roman" w:hAnsi="Arial" w:cs="Arial"/>
                <w:b/>
                <w:sz w:val="20"/>
                <w:lang w:eastAsia="pt-BR"/>
              </w:rPr>
              <w:t>R$</w:t>
            </w:r>
          </w:p>
        </w:tc>
      </w:tr>
      <w:tr w:rsidR="00030364" w:rsidRPr="00030364" w:rsidTr="00E84AED">
        <w:trPr>
          <w:trHeight w:val="719"/>
          <w:jc w:val="center"/>
        </w:trPr>
        <w:tc>
          <w:tcPr>
            <w:tcW w:w="917"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autoSpaceDE w:val="0"/>
              <w:autoSpaceDN w:val="0"/>
              <w:spacing w:after="0" w:line="240" w:lineRule="auto"/>
              <w:jc w:val="center"/>
              <w:rPr>
                <w:rFonts w:ascii="Arial" w:eastAsia="Times New Roman" w:hAnsi="Arial" w:cs="Arial"/>
                <w:b/>
                <w:lang w:eastAsia="pt-BR"/>
              </w:rPr>
            </w:pPr>
            <w:r w:rsidRPr="00030364">
              <w:rPr>
                <w:rFonts w:ascii="Arial" w:eastAsia="Times New Roman" w:hAnsi="Arial" w:cs="Arial"/>
                <w:b/>
                <w:sz w:val="20"/>
                <w:lang w:eastAsia="pt-BR"/>
              </w:rPr>
              <w:t>ÚNICO</w:t>
            </w:r>
          </w:p>
        </w:tc>
        <w:tc>
          <w:tcPr>
            <w:tcW w:w="1984"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autoSpaceDE w:val="0"/>
              <w:autoSpaceDN w:val="0"/>
              <w:spacing w:after="0" w:line="240" w:lineRule="auto"/>
              <w:jc w:val="center"/>
              <w:rPr>
                <w:rFonts w:ascii="Arial" w:eastAsia="Times New Roman" w:hAnsi="Arial" w:cs="Arial"/>
                <w:lang w:eastAsia="pt-BR"/>
              </w:rPr>
            </w:pPr>
            <w:r w:rsidRPr="00030364">
              <w:rPr>
                <w:rFonts w:ascii="Arial" w:eastAsia="Times New Roman" w:hAnsi="Arial" w:cs="Arial"/>
                <w:bCs/>
                <w:sz w:val="18"/>
                <w:lang w:eastAsia="pt-BR"/>
              </w:rPr>
              <w:t>MICROCOMPUTADOR DESKTOP</w:t>
            </w:r>
          </w:p>
        </w:tc>
        <w:tc>
          <w:tcPr>
            <w:tcW w:w="1134"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uppressAutoHyphens/>
              <w:snapToGrid w:val="0"/>
              <w:spacing w:after="0" w:line="240" w:lineRule="auto"/>
              <w:jc w:val="both"/>
              <w:rPr>
                <w:rFonts w:ascii="Arial" w:eastAsia="Times New Roman" w:hAnsi="Arial" w:cs="Arial"/>
                <w:b/>
                <w:lang w:eastAsia="pt-BR"/>
              </w:rPr>
            </w:pPr>
          </w:p>
        </w:tc>
        <w:tc>
          <w:tcPr>
            <w:tcW w:w="992"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uppressAutoHyphens/>
              <w:snapToGrid w:val="0"/>
              <w:spacing w:after="0" w:line="240" w:lineRule="auto"/>
              <w:jc w:val="both"/>
              <w:rPr>
                <w:rFonts w:ascii="Arial" w:eastAsia="Times New Roman" w:hAnsi="Arial" w:cs="Arial"/>
                <w:b/>
                <w:lang w:eastAsia="pt-BR"/>
              </w:rPr>
            </w:pPr>
          </w:p>
        </w:tc>
        <w:tc>
          <w:tcPr>
            <w:tcW w:w="1560"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uppressAutoHyphens/>
              <w:spacing w:after="0" w:line="240" w:lineRule="auto"/>
              <w:jc w:val="center"/>
              <w:rPr>
                <w:rFonts w:ascii="Arial" w:eastAsia="Times New Roman" w:hAnsi="Arial" w:cs="Arial"/>
                <w:lang w:eastAsia="pt-BR"/>
              </w:rPr>
            </w:pPr>
          </w:p>
        </w:tc>
        <w:tc>
          <w:tcPr>
            <w:tcW w:w="425"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uppressAutoHyphens/>
              <w:spacing w:after="0" w:line="240" w:lineRule="auto"/>
              <w:jc w:val="center"/>
              <w:rPr>
                <w:rFonts w:ascii="Arial" w:eastAsia="Times New Roman" w:hAnsi="Arial" w:cs="Arial"/>
                <w:sz w:val="20"/>
                <w:lang w:eastAsia="pt-BR"/>
              </w:rPr>
            </w:pPr>
            <w:r w:rsidRPr="00030364">
              <w:rPr>
                <w:rFonts w:ascii="Arial" w:eastAsia="Times New Roman" w:hAnsi="Arial" w:cs="Arial"/>
                <w:sz w:val="20"/>
                <w:lang w:eastAsia="pt-BR"/>
              </w:rPr>
              <w:t>U</w:t>
            </w:r>
          </w:p>
        </w:tc>
        <w:tc>
          <w:tcPr>
            <w:tcW w:w="992"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napToGrid w:val="0"/>
              <w:spacing w:after="0" w:line="240" w:lineRule="auto"/>
              <w:jc w:val="center"/>
              <w:rPr>
                <w:rFonts w:ascii="Arial" w:eastAsia="Times New Roman" w:hAnsi="Arial" w:cs="Arial"/>
                <w:sz w:val="20"/>
                <w:lang w:eastAsia="pt-BR"/>
              </w:rPr>
            </w:pPr>
            <w:r w:rsidRPr="00030364">
              <w:rPr>
                <w:rFonts w:ascii="Arial" w:eastAsia="Times New Roman" w:hAnsi="Arial" w:cs="Arial"/>
                <w:sz w:val="20"/>
                <w:lang w:eastAsia="pt-BR"/>
              </w:rPr>
              <w:t>3.065</w:t>
            </w:r>
          </w:p>
        </w:tc>
        <w:tc>
          <w:tcPr>
            <w:tcW w:w="1144"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lang w:eastAsia="pt-BR"/>
              </w:rPr>
            </w:pPr>
          </w:p>
        </w:tc>
        <w:tc>
          <w:tcPr>
            <w:tcW w:w="1195"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Arial"/>
                <w:b/>
                <w:lang w:eastAsia="pt-BR"/>
              </w:rPr>
            </w:pPr>
          </w:p>
        </w:tc>
      </w:tr>
      <w:tr w:rsidR="00030364" w:rsidRPr="00030364" w:rsidTr="00E84AED">
        <w:trPr>
          <w:jc w:val="center"/>
        </w:trPr>
        <w:tc>
          <w:tcPr>
            <w:tcW w:w="10343" w:type="dxa"/>
            <w:gridSpan w:val="9"/>
            <w:tcBorders>
              <w:top w:val="single" w:sz="4" w:space="0" w:color="auto"/>
              <w:left w:val="single" w:sz="4" w:space="0" w:color="auto"/>
              <w:bottom w:val="single" w:sz="4" w:space="0" w:color="auto"/>
              <w:right w:val="single" w:sz="4" w:space="0" w:color="auto"/>
            </w:tcBorders>
          </w:tcPr>
          <w:p w:rsidR="00030364" w:rsidRPr="00030364" w:rsidRDefault="00030364" w:rsidP="00030364">
            <w:pPr>
              <w:spacing w:after="0" w:line="240" w:lineRule="auto"/>
              <w:rPr>
                <w:rFonts w:ascii="Arial" w:eastAsia="Times New Roman" w:hAnsi="Arial" w:cs="Arial"/>
                <w:lang w:eastAsia="pt-BR"/>
              </w:rPr>
            </w:pPr>
            <w:r w:rsidRPr="00030364">
              <w:rPr>
                <w:rFonts w:ascii="Arial" w:eastAsia="Times New Roman" w:hAnsi="Arial" w:cs="Arial"/>
                <w:sz w:val="20"/>
                <w:lang w:eastAsia="pt-BR"/>
              </w:rPr>
              <w:t>PREÇO TOTAL POR EXTENSO:</w:t>
            </w:r>
          </w:p>
        </w:tc>
      </w:tr>
    </w:tbl>
    <w:p w:rsidR="00030364" w:rsidRPr="00030364" w:rsidRDefault="00030364" w:rsidP="00030364">
      <w:pPr>
        <w:suppressAutoHyphens/>
        <w:spacing w:after="0" w:line="240" w:lineRule="auto"/>
        <w:jc w:val="both"/>
        <w:rPr>
          <w:rFonts w:ascii="Arial" w:eastAsia="Times New Roman" w:hAnsi="Arial" w:cs="Times New Roman"/>
          <w:sz w:val="20"/>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b/>
          <w:sz w:val="24"/>
          <w:szCs w:val="24"/>
          <w:highlight w:val="yellow"/>
          <w:lang w:eastAsia="pt-BR"/>
        </w:rPr>
      </w:pPr>
    </w:p>
    <w:p w:rsidR="00030364" w:rsidRPr="00030364" w:rsidRDefault="00030364" w:rsidP="0003036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030364">
        <w:rPr>
          <w:rFonts w:ascii="Arial" w:eastAsia="Times New Roman" w:hAnsi="Arial" w:cs="Times New Roman"/>
          <w:b/>
          <w:sz w:val="24"/>
          <w:szCs w:val="24"/>
          <w:lang w:eastAsia="pt-BR"/>
        </w:rPr>
        <w:t>Declaramos que o item constante desta proposta corresponde exatamente às especificações descritas nos Anexos n. 1 e 1-A do Edital, às quais aderimos formalmente.</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b/>
          <w:sz w:val="24"/>
          <w:szCs w:val="24"/>
          <w:highlight w:val="yellow"/>
          <w:lang w:eastAsia="pt-BR"/>
        </w:rPr>
      </w:pPr>
      <w:r w:rsidRPr="00030364">
        <w:rPr>
          <w:rFonts w:ascii="Arial" w:eastAsia="Times New Roman" w:hAnsi="Arial" w:cs="Times New Roman"/>
          <w:sz w:val="24"/>
          <w:szCs w:val="20"/>
          <w:lang w:eastAsia="pt-BR"/>
        </w:rPr>
        <w:tab/>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030364">
        <w:rPr>
          <w:rFonts w:ascii="Arial" w:eastAsia="Times New Roman" w:hAnsi="Arial" w:cs="Arial"/>
          <w:b/>
          <w:sz w:val="24"/>
          <w:szCs w:val="24"/>
          <w:lang w:eastAsia="pt-BR"/>
        </w:rPr>
        <w:t xml:space="preserve">PRAZO DE VALIDADE DA PROPOSTA: </w:t>
      </w:r>
      <w:r w:rsidRPr="00030364">
        <w:rPr>
          <w:rFonts w:ascii="Arial" w:eastAsia="Times New Roman" w:hAnsi="Arial" w:cs="Arial"/>
          <w:sz w:val="24"/>
          <w:szCs w:val="24"/>
          <w:lang w:eastAsia="pt-BR"/>
        </w:rPr>
        <w:t>_________ (por extenso) dias (observar o disposto no Título 10 do Edital).</w:t>
      </w:r>
      <w:r w:rsidRPr="00030364">
        <w:rPr>
          <w:rFonts w:ascii="Arial" w:eastAsia="Times New Roman" w:hAnsi="Arial" w:cs="Arial"/>
          <w:sz w:val="24"/>
          <w:szCs w:val="24"/>
          <w:bdr w:val="thinThickSmallGap" w:sz="24" w:space="0" w:color="auto" w:frame="1"/>
          <w:lang w:eastAsia="pt-BR"/>
        </w:rPr>
        <w:t xml:space="preserve"> </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030364">
        <w:rPr>
          <w:rFonts w:ascii="Arial" w:eastAsia="Times New Roman" w:hAnsi="Arial" w:cs="Arial"/>
          <w:b/>
          <w:sz w:val="24"/>
          <w:szCs w:val="24"/>
          <w:lang w:eastAsia="pt-BR"/>
        </w:rPr>
        <w:t xml:space="preserve">PRAZO DE GARANTIA DO OBJETO: </w:t>
      </w:r>
      <w:r w:rsidRPr="00030364">
        <w:rPr>
          <w:rFonts w:ascii="Arial" w:eastAsia="Times New Roman" w:hAnsi="Arial" w:cs="Arial"/>
          <w:sz w:val="24"/>
          <w:szCs w:val="24"/>
          <w:lang w:eastAsia="pt-BR"/>
        </w:rPr>
        <w:t>___________ (por extenso) meses (observar o disposto no Anexo n. 1).</w:t>
      </w:r>
      <w:r w:rsidRPr="00030364">
        <w:rPr>
          <w:rFonts w:ascii="Arial" w:eastAsia="Times New Roman" w:hAnsi="Arial" w:cs="Arial"/>
          <w:sz w:val="24"/>
          <w:szCs w:val="24"/>
          <w:bdr w:val="thinThickSmallGap" w:sz="24" w:space="0" w:color="auto" w:frame="1"/>
          <w:lang w:eastAsia="pt-BR"/>
        </w:rPr>
        <w:t xml:space="preserve"> </w:t>
      </w:r>
    </w:p>
    <w:p w:rsidR="00030364" w:rsidRPr="00030364" w:rsidRDefault="00030364" w:rsidP="00030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030364">
        <w:rPr>
          <w:rFonts w:ascii="Arial" w:eastAsia="Times New Roman" w:hAnsi="Arial" w:cs="Arial"/>
          <w:b/>
          <w:sz w:val="24"/>
          <w:szCs w:val="24"/>
          <w:lang w:eastAsia="pt-BR"/>
        </w:rPr>
        <w:t>PRAZO DE ENTREGA DO OBJETO, CONFORME DEFINIDO NO ANEXO N. 1 DO EDITAL.</w:t>
      </w:r>
    </w:p>
    <w:p w:rsidR="00030364" w:rsidRPr="00030364" w:rsidRDefault="00030364" w:rsidP="00030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p>
    <w:p w:rsidR="00030364" w:rsidRPr="00030364" w:rsidRDefault="00030364" w:rsidP="00030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030364">
        <w:rPr>
          <w:rFonts w:ascii="Arial" w:eastAsia="Times New Roman" w:hAnsi="Arial" w:cs="Arial"/>
          <w:sz w:val="24"/>
          <w:szCs w:val="24"/>
          <w:lang w:eastAsia="pt-BR"/>
        </w:rPr>
        <w:t>Declaramos que os equipamentos ofertados, caso necessário, receberão atendimento de garantia na rede de assistência autorizada pelo fabricante.</w:t>
      </w:r>
    </w:p>
    <w:p w:rsidR="00030364" w:rsidRPr="00030364" w:rsidRDefault="00030364" w:rsidP="00030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030364">
        <w:rPr>
          <w:rFonts w:ascii="Arial" w:eastAsia="Times New Roman" w:hAnsi="Arial" w:cs="Arial"/>
          <w:sz w:val="24"/>
          <w:szCs w:val="24"/>
          <w:lang w:eastAsia="pt-BR"/>
        </w:rPr>
        <w:t xml:space="preserve">Declaramos que informaremos os preços unitários dos equipamentos, das peças </w:t>
      </w:r>
      <w:r w:rsidRPr="00030364">
        <w:rPr>
          <w:rFonts w:ascii="Arial" w:eastAsia="Times New Roman" w:hAnsi="Arial" w:cs="Arial"/>
          <w:sz w:val="24"/>
          <w:szCs w:val="24"/>
          <w:lang w:eastAsia="pt-BR"/>
        </w:rPr>
        <w:lastRenderedPageBreak/>
        <w:t>e dos demais componentes que integram o objeto da licitação sempre que solicitados pela Câmara dos Deputados, para fins de registro patrimonial.</w:t>
      </w:r>
    </w:p>
    <w:p w:rsidR="00030364" w:rsidRPr="00030364" w:rsidRDefault="00030364" w:rsidP="00030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030364">
        <w:rPr>
          <w:rFonts w:ascii="Arial" w:eastAsia="Times New Roman" w:hAnsi="Arial" w:cs="Arial"/>
          <w:sz w:val="24"/>
          <w:szCs w:val="24"/>
          <w:lang w:eastAsia="pt-BR"/>
        </w:rPr>
        <w:t>Declaramos que serão fornecidas peças de reposição originais durante todo o período de garantia, podendo também ser utilizadas peças de tecnologia mais recente, também originais, de desempenho igual ou superior.</w:t>
      </w:r>
    </w:p>
    <w:p w:rsidR="00030364" w:rsidRPr="00030364" w:rsidRDefault="00030364" w:rsidP="00030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bdr w:val="thinThickSmallGap" w:sz="24" w:space="0" w:color="auto" w:frame="1"/>
          <w:lang w:eastAsia="pt-BR"/>
        </w:rPr>
      </w:pPr>
    </w:p>
    <w:p w:rsidR="00030364" w:rsidRPr="00030364" w:rsidRDefault="00030364" w:rsidP="0003036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lang w:eastAsia="pt-BR"/>
        </w:rPr>
      </w:pPr>
      <w:r w:rsidRPr="00030364">
        <w:rPr>
          <w:rFonts w:ascii="Arial" w:eastAsia="Times New Roman" w:hAnsi="Arial" w:cs="Arial"/>
          <w:b/>
          <w:sz w:val="20"/>
          <w:szCs w:val="20"/>
          <w:lang w:eastAsia="pt-BR"/>
        </w:rPr>
        <w:t xml:space="preserve">É OBRIGATÓRIA A COMPROVAÇÃO A QUE SE REFERE O </w:t>
      </w:r>
      <w:r w:rsidRPr="00030364">
        <w:rPr>
          <w:rFonts w:ascii="Arial" w:eastAsia="Times New Roman" w:hAnsi="Arial" w:cs="Arial"/>
          <w:b/>
          <w:sz w:val="20"/>
          <w:szCs w:val="20"/>
          <w:u w:val="single"/>
          <w:lang w:eastAsia="pt-BR"/>
        </w:rPr>
        <w:t>SUBITEM 4.7.3</w:t>
      </w:r>
      <w:r w:rsidRPr="00030364">
        <w:rPr>
          <w:rFonts w:ascii="Arial" w:eastAsia="Times New Roman" w:hAnsi="Arial" w:cs="Arial"/>
          <w:b/>
          <w:sz w:val="20"/>
          <w:szCs w:val="20"/>
          <w:lang w:eastAsia="pt-BR"/>
        </w:rPr>
        <w:t xml:space="preserve"> DO TÍTULO 4 DO EDITAL.</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keepNext/>
        <w:pBdr>
          <w:top w:val="single" w:sz="4" w:space="1" w:color="auto"/>
          <w:bottom w:val="single" w:sz="4" w:space="1" w:color="auto"/>
        </w:pBdr>
        <w:suppressAutoHyphens/>
        <w:spacing w:before="120" w:after="120" w:line="240" w:lineRule="auto"/>
        <w:jc w:val="center"/>
        <w:outlineLvl w:val="6"/>
        <w:rPr>
          <w:rFonts w:ascii="Arial" w:eastAsia="Times New Roman" w:hAnsi="Arial" w:cs="Arial"/>
          <w:b/>
          <w:sz w:val="24"/>
          <w:szCs w:val="20"/>
          <w:lang w:eastAsia="pt-BR"/>
        </w:rPr>
      </w:pPr>
      <w:r w:rsidRPr="00030364">
        <w:rPr>
          <w:rFonts w:ascii="Arial" w:eastAsia="Times New Roman" w:hAnsi="Arial" w:cs="Arial"/>
          <w:b/>
          <w:sz w:val="24"/>
          <w:szCs w:val="20"/>
          <w:lang w:eastAsia="pt-BR"/>
        </w:rPr>
        <w:t>TABELA DE CONFORMIDADE TÉCNICA*</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Arial"/>
          <w:sz w:val="24"/>
          <w:szCs w:val="20"/>
          <w:lang w:eastAsia="pt-BR"/>
        </w:rPr>
      </w:pPr>
    </w:p>
    <w:tbl>
      <w:tblPr>
        <w:tblW w:w="8911"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4252"/>
        <w:gridCol w:w="992"/>
        <w:gridCol w:w="709"/>
        <w:gridCol w:w="1413"/>
      </w:tblGrid>
      <w:tr w:rsidR="00030364" w:rsidRPr="00030364" w:rsidTr="00030364">
        <w:trPr>
          <w:trHeight w:val="946"/>
          <w:tblHeader/>
          <w:jc w:val="center"/>
        </w:trPr>
        <w:tc>
          <w:tcPr>
            <w:tcW w:w="1545"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napToGrid w:val="0"/>
                <w:sz w:val="20"/>
                <w:szCs w:val="20"/>
                <w:lang w:eastAsia="pt-BR"/>
              </w:rPr>
            </w:pPr>
            <w:r w:rsidRPr="00030364">
              <w:rPr>
                <w:rFonts w:ascii="Arial" w:eastAsia="Times New Roman" w:hAnsi="Arial" w:cs="Arial"/>
                <w:b/>
                <w:snapToGrid w:val="0"/>
                <w:sz w:val="20"/>
                <w:szCs w:val="20"/>
                <w:lang w:eastAsia="pt-BR"/>
              </w:rPr>
              <w:t>Item do Anexo n. 1</w:t>
            </w:r>
          </w:p>
        </w:tc>
        <w:tc>
          <w:tcPr>
            <w:tcW w:w="4252"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napToGrid w:val="0"/>
                <w:sz w:val="20"/>
                <w:szCs w:val="20"/>
                <w:lang w:eastAsia="pt-BR"/>
              </w:rPr>
              <w:t>Disposições Gerais</w:t>
            </w:r>
          </w:p>
        </w:tc>
        <w:tc>
          <w:tcPr>
            <w:tcW w:w="992"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Página</w:t>
            </w:r>
          </w:p>
        </w:tc>
        <w:tc>
          <w:tcPr>
            <w:tcW w:w="709"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Item</w:t>
            </w:r>
          </w:p>
        </w:tc>
        <w:tc>
          <w:tcPr>
            <w:tcW w:w="1413"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Observação</w:t>
            </w:r>
          </w:p>
        </w:tc>
      </w:tr>
      <w:tr w:rsidR="00030364" w:rsidRPr="00030364" w:rsidTr="00E84AED">
        <w:trPr>
          <w:trHeight w:val="3278"/>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tabs>
                <w:tab w:val="left" w:pos="1134"/>
              </w:tabs>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3.1</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tabs>
                <w:tab w:val="left" w:pos="1134"/>
              </w:tabs>
              <w:spacing w:after="0" w:line="240" w:lineRule="auto"/>
              <w:jc w:val="both"/>
              <w:rPr>
                <w:rFonts w:ascii="Arial" w:eastAsia="Times New Roman" w:hAnsi="Arial" w:cs="Arial"/>
                <w:b/>
                <w:sz w:val="20"/>
                <w:szCs w:val="20"/>
                <w:lang w:eastAsia="pt-BR"/>
              </w:rPr>
            </w:pPr>
            <w:r w:rsidRPr="00030364">
              <w:rPr>
                <w:rFonts w:ascii="Arial" w:eastAsia="Times New Roman" w:hAnsi="Arial" w:cs="Arial"/>
                <w:color w:val="000000"/>
                <w:sz w:val="20"/>
                <w:szCs w:val="20"/>
                <w:lang w:eastAsia="pt-BR"/>
              </w:rPr>
              <w:t xml:space="preserve">Os microcomputadores ofertados deverão constar no Microsoft Windows </w:t>
            </w:r>
            <w:proofErr w:type="spellStart"/>
            <w:r w:rsidRPr="00030364">
              <w:rPr>
                <w:rFonts w:ascii="Arial" w:eastAsia="Times New Roman" w:hAnsi="Arial" w:cs="Arial"/>
                <w:color w:val="000000"/>
                <w:sz w:val="20"/>
                <w:szCs w:val="20"/>
                <w:lang w:eastAsia="pt-BR"/>
              </w:rPr>
              <w:t>Products</w:t>
            </w:r>
            <w:proofErr w:type="spellEnd"/>
            <w:r w:rsidRPr="00030364">
              <w:rPr>
                <w:rFonts w:ascii="Arial" w:eastAsia="Times New Roman" w:hAnsi="Arial" w:cs="Arial"/>
                <w:color w:val="000000"/>
                <w:sz w:val="20"/>
                <w:szCs w:val="20"/>
                <w:lang w:eastAsia="pt-BR"/>
              </w:rPr>
              <w:t xml:space="preserve"> </w:t>
            </w:r>
            <w:proofErr w:type="spellStart"/>
            <w:r w:rsidRPr="00030364">
              <w:rPr>
                <w:rFonts w:ascii="Arial" w:eastAsia="Times New Roman" w:hAnsi="Arial" w:cs="Arial"/>
                <w:color w:val="000000"/>
                <w:sz w:val="20"/>
                <w:szCs w:val="20"/>
                <w:lang w:eastAsia="pt-BR"/>
              </w:rPr>
              <w:t>List</w:t>
            </w:r>
            <w:proofErr w:type="spellEnd"/>
            <w:r w:rsidRPr="00030364">
              <w:rPr>
                <w:rFonts w:ascii="Arial" w:eastAsia="Times New Roman" w:hAnsi="Arial" w:cs="Arial"/>
                <w:color w:val="000000"/>
                <w:sz w:val="20"/>
                <w:szCs w:val="20"/>
                <w:lang w:eastAsia="pt-BR"/>
              </w:rPr>
              <w:t xml:space="preserve"> (</w:t>
            </w:r>
            <w:hyperlink r:id="rId4" w:history="1">
              <w:r w:rsidRPr="00030364">
                <w:rPr>
                  <w:rFonts w:ascii="Arial" w:eastAsia="Times New Roman" w:hAnsi="Arial" w:cs="Arial"/>
                  <w:color w:val="0000FF"/>
                  <w:sz w:val="20"/>
                  <w:szCs w:val="20"/>
                  <w:u w:val="single"/>
                  <w:lang w:eastAsia="pt-BR"/>
                </w:rPr>
                <w:t>https://partner.microsoft.com/en-us/dashboard/hardware/search/cpl</w:t>
              </w:r>
            </w:hyperlink>
            <w:r w:rsidRPr="00030364">
              <w:rPr>
                <w:rFonts w:ascii="Arial" w:eastAsia="Times New Roman" w:hAnsi="Arial" w:cs="Arial"/>
                <w:color w:val="000000"/>
                <w:sz w:val="20"/>
                <w:szCs w:val="20"/>
                <w:lang w:eastAsia="pt-BR"/>
              </w:rPr>
              <w:t xml:space="preserve">), recomendando-os para o Windows 11, aplicável ao equipamento acabado (montado), não sendo aceitas certificações individuais de componentes. A comprovação da compatibilidade será efetuada pela apresentação do documento “Hardware </w:t>
            </w:r>
            <w:proofErr w:type="spellStart"/>
            <w:r w:rsidRPr="00030364">
              <w:rPr>
                <w:rFonts w:ascii="Arial" w:eastAsia="Times New Roman" w:hAnsi="Arial" w:cs="Arial"/>
                <w:color w:val="000000"/>
                <w:sz w:val="20"/>
                <w:szCs w:val="20"/>
                <w:lang w:eastAsia="pt-BR"/>
              </w:rPr>
              <w:t>Certification</w:t>
            </w:r>
            <w:proofErr w:type="spellEnd"/>
            <w:r w:rsidRPr="00030364">
              <w:rPr>
                <w:rFonts w:ascii="Arial" w:eastAsia="Times New Roman" w:hAnsi="Arial" w:cs="Arial"/>
                <w:color w:val="000000"/>
                <w:sz w:val="20"/>
                <w:szCs w:val="20"/>
                <w:lang w:eastAsia="pt-BR"/>
              </w:rPr>
              <w:t xml:space="preserve"> </w:t>
            </w:r>
            <w:proofErr w:type="spellStart"/>
            <w:r w:rsidRPr="00030364">
              <w:rPr>
                <w:rFonts w:ascii="Arial" w:eastAsia="Times New Roman" w:hAnsi="Arial" w:cs="Arial"/>
                <w:color w:val="000000"/>
                <w:sz w:val="20"/>
                <w:szCs w:val="20"/>
                <w:lang w:eastAsia="pt-BR"/>
              </w:rPr>
              <w:t>Report</w:t>
            </w:r>
            <w:proofErr w:type="spellEnd"/>
            <w:r w:rsidRPr="00030364">
              <w:rPr>
                <w:rFonts w:ascii="Arial" w:eastAsia="Times New Roman" w:hAnsi="Arial" w:cs="Arial"/>
                <w:color w:val="000000"/>
                <w:sz w:val="20"/>
                <w:szCs w:val="20"/>
                <w:lang w:eastAsia="pt-BR"/>
              </w:rPr>
              <w:t>” emitido especificamente para os modelos ofertados. O selo de certificação deverá estar colado no gabinete do microcomputador.</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3.2</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b/>
                <w:sz w:val="20"/>
                <w:szCs w:val="20"/>
                <w:lang w:eastAsia="pt-BR"/>
              </w:rPr>
            </w:pPr>
            <w:r w:rsidRPr="00030364">
              <w:rPr>
                <w:rFonts w:ascii="Arial" w:eastAsia="Times New Roman" w:hAnsi="Arial" w:cs="Arial"/>
                <w:color w:val="000000"/>
                <w:sz w:val="20"/>
                <w:szCs w:val="20"/>
                <w:lang w:eastAsia="pt-BR"/>
              </w:rPr>
              <w:t>Os modelos dos equipamentos ofertados deverão obedecer aos requisitos estabelecidos na norma IEEE 1680, implementados pelo selo EPEAT (</w:t>
            </w:r>
            <w:proofErr w:type="spellStart"/>
            <w:r w:rsidRPr="00030364">
              <w:rPr>
                <w:rFonts w:ascii="Arial" w:eastAsia="Times New Roman" w:hAnsi="Arial" w:cs="Arial"/>
                <w:color w:val="000000"/>
                <w:sz w:val="20"/>
                <w:szCs w:val="20"/>
                <w:lang w:eastAsia="pt-BR"/>
              </w:rPr>
              <w:t>Electronic</w:t>
            </w:r>
            <w:proofErr w:type="spellEnd"/>
            <w:r w:rsidRPr="00030364">
              <w:rPr>
                <w:rFonts w:ascii="Arial" w:eastAsia="Times New Roman" w:hAnsi="Arial" w:cs="Arial"/>
                <w:color w:val="000000"/>
                <w:sz w:val="20"/>
                <w:szCs w:val="20"/>
                <w:lang w:eastAsia="pt-BR"/>
              </w:rPr>
              <w:t xml:space="preserve"> </w:t>
            </w:r>
            <w:proofErr w:type="spellStart"/>
            <w:r w:rsidRPr="00030364">
              <w:rPr>
                <w:rFonts w:ascii="Arial" w:eastAsia="Times New Roman" w:hAnsi="Arial" w:cs="Arial"/>
                <w:color w:val="000000"/>
                <w:sz w:val="20"/>
                <w:szCs w:val="20"/>
                <w:lang w:eastAsia="pt-BR"/>
              </w:rPr>
              <w:t>Product</w:t>
            </w:r>
            <w:proofErr w:type="spellEnd"/>
            <w:r w:rsidRPr="00030364">
              <w:rPr>
                <w:rFonts w:ascii="Arial" w:eastAsia="Times New Roman" w:hAnsi="Arial" w:cs="Arial"/>
                <w:color w:val="000000"/>
                <w:sz w:val="20"/>
                <w:szCs w:val="20"/>
                <w:lang w:eastAsia="pt-BR"/>
              </w:rPr>
              <w:t xml:space="preserve"> Environmental </w:t>
            </w:r>
            <w:proofErr w:type="spellStart"/>
            <w:r w:rsidRPr="00030364">
              <w:rPr>
                <w:rFonts w:ascii="Arial" w:eastAsia="Times New Roman" w:hAnsi="Arial" w:cs="Arial"/>
                <w:color w:val="000000"/>
                <w:sz w:val="20"/>
                <w:szCs w:val="20"/>
                <w:lang w:eastAsia="pt-BR"/>
              </w:rPr>
              <w:t>Assessment</w:t>
            </w:r>
            <w:proofErr w:type="spellEnd"/>
            <w:r w:rsidRPr="00030364">
              <w:rPr>
                <w:rFonts w:ascii="Arial" w:eastAsia="Times New Roman" w:hAnsi="Arial" w:cs="Arial"/>
                <w:color w:val="000000"/>
                <w:sz w:val="20"/>
                <w:szCs w:val="20"/>
                <w:lang w:eastAsia="pt-BR"/>
              </w:rPr>
              <w:t xml:space="preserve"> Tool), da agência de proteção ambiental (EPA) permitindo-se a comprovação do enquadramento pelo próprio site, ou aos critérios de outra certificação internacional similar (ISO 14000), ou ainda aos que atendam aos Requisitos de Avaliação da Conformidade Para Bens de Informática, aprovados pela Portaria nº 170/2012 do Instituto Nacional de Metrologia, Qualidade e Tecnologia (Inmetro), conforme determinado pelo Acórdão Nº 508/2013 – TCU – Plenário.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3.3</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Todos os componentes externos, integrantes dos microcomputadores ofertados (gabinete, mouse, teclado e monitor), deverão ter a mesma cor predominante.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030364">
        <w:trPr>
          <w:trHeight w:val="946"/>
          <w:tblHeader/>
          <w:jc w:val="center"/>
        </w:trPr>
        <w:tc>
          <w:tcPr>
            <w:tcW w:w="1545"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napToGrid w:val="0"/>
                <w:sz w:val="20"/>
                <w:szCs w:val="20"/>
                <w:lang w:eastAsia="pt-BR"/>
              </w:rPr>
            </w:pPr>
            <w:r w:rsidRPr="00030364">
              <w:rPr>
                <w:rFonts w:ascii="Arial" w:eastAsia="Times New Roman" w:hAnsi="Arial" w:cs="Arial"/>
                <w:b/>
                <w:snapToGrid w:val="0"/>
                <w:sz w:val="20"/>
                <w:szCs w:val="20"/>
                <w:lang w:eastAsia="pt-BR"/>
              </w:rPr>
              <w:t>Item do Anexo n. 1-A</w:t>
            </w:r>
          </w:p>
        </w:tc>
        <w:tc>
          <w:tcPr>
            <w:tcW w:w="4252"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napToGrid w:val="0"/>
                <w:sz w:val="20"/>
                <w:szCs w:val="20"/>
                <w:lang w:eastAsia="pt-BR"/>
              </w:rPr>
              <w:t>Disposições Gerais</w:t>
            </w:r>
          </w:p>
        </w:tc>
        <w:tc>
          <w:tcPr>
            <w:tcW w:w="992"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Página</w:t>
            </w:r>
          </w:p>
        </w:tc>
        <w:tc>
          <w:tcPr>
            <w:tcW w:w="709"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Item</w:t>
            </w:r>
          </w:p>
        </w:tc>
        <w:tc>
          <w:tcPr>
            <w:tcW w:w="1413" w:type="dxa"/>
            <w:tcBorders>
              <w:top w:val="single" w:sz="12" w:space="0" w:color="auto"/>
              <w:left w:val="single" w:sz="12" w:space="0" w:color="auto"/>
              <w:right w:val="single" w:sz="12" w:space="0" w:color="auto"/>
            </w:tcBorders>
            <w:shd w:val="clear" w:color="auto" w:fill="BFBFBF"/>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Observação</w:t>
            </w: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lastRenderedPageBreak/>
              <w:t>Placa Principal e BIOS</w:t>
            </w:r>
          </w:p>
        </w:tc>
      </w:tr>
      <w:tr w:rsidR="00030364" w:rsidRPr="00030364" w:rsidTr="00E84AED">
        <w:trPr>
          <w:trHeight w:val="713"/>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tabs>
                <w:tab w:val="left" w:pos="1134"/>
              </w:tabs>
              <w:spacing w:before="119" w:after="119"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tabs>
                <w:tab w:val="left" w:pos="1134"/>
              </w:tabs>
              <w:spacing w:after="0" w:line="240" w:lineRule="auto"/>
              <w:jc w:val="both"/>
              <w:rPr>
                <w:rFonts w:ascii="Arial" w:eastAsia="Times New Roman" w:hAnsi="Arial" w:cs="Arial"/>
                <w:b/>
                <w:sz w:val="20"/>
                <w:szCs w:val="20"/>
                <w:lang w:eastAsia="pt-BR"/>
              </w:rPr>
            </w:pPr>
            <w:r w:rsidRPr="00030364">
              <w:rPr>
                <w:rFonts w:ascii="Arial" w:eastAsia="Times New Roman" w:hAnsi="Arial" w:cs="Arial"/>
                <w:color w:val="000000"/>
                <w:sz w:val="20"/>
                <w:szCs w:val="20"/>
                <w:lang w:eastAsia="pt-BR"/>
              </w:rPr>
              <w:t>Possibilidade de restringir o acesso às configurações e à inicialização por meio de senha.</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b/>
                <w:sz w:val="20"/>
                <w:szCs w:val="20"/>
                <w:lang w:eastAsia="pt-BR"/>
              </w:rPr>
            </w:pPr>
            <w:r w:rsidRPr="00030364">
              <w:rPr>
                <w:rFonts w:ascii="Arial" w:eastAsia="Times New Roman" w:hAnsi="Arial" w:cs="Arial"/>
                <w:color w:val="000000"/>
                <w:sz w:val="20"/>
                <w:szCs w:val="20"/>
                <w:lang w:eastAsia="pt-BR"/>
              </w:rPr>
              <w:t>Armazenamento de código de identificação do equipamento (número de registro patrimonial, por exemplo) em memória não-volátil, com extensão mínima de seis dígitos, recuperável por SNMP.</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Deverá estar aderente às especificações do DASH 1.2 e WS-MAN, definidas pelo DMTF (</w:t>
            </w:r>
            <w:proofErr w:type="spellStart"/>
            <w:r w:rsidRPr="00030364">
              <w:rPr>
                <w:rFonts w:ascii="Arial" w:eastAsia="Times New Roman" w:hAnsi="Arial" w:cs="Arial"/>
                <w:color w:val="000000"/>
                <w:sz w:val="20"/>
                <w:szCs w:val="20"/>
                <w:lang w:eastAsia="pt-BR"/>
              </w:rPr>
              <w:t>Distributed</w:t>
            </w:r>
            <w:proofErr w:type="spellEnd"/>
            <w:r w:rsidRPr="00030364">
              <w:rPr>
                <w:rFonts w:ascii="Arial" w:eastAsia="Times New Roman" w:hAnsi="Arial" w:cs="Arial"/>
                <w:color w:val="000000"/>
                <w:sz w:val="20"/>
                <w:szCs w:val="20"/>
                <w:lang w:eastAsia="pt-BR"/>
              </w:rPr>
              <w:t xml:space="preserve"> Management </w:t>
            </w:r>
            <w:proofErr w:type="spellStart"/>
            <w:r w:rsidRPr="00030364">
              <w:rPr>
                <w:rFonts w:ascii="Arial" w:eastAsia="Times New Roman" w:hAnsi="Arial" w:cs="Arial"/>
                <w:color w:val="000000"/>
                <w:sz w:val="20"/>
                <w:szCs w:val="20"/>
                <w:lang w:eastAsia="pt-BR"/>
              </w:rPr>
              <w:t>Task</w:t>
            </w:r>
            <w:proofErr w:type="spellEnd"/>
            <w:r w:rsidRPr="00030364">
              <w:rPr>
                <w:rFonts w:ascii="Arial" w:eastAsia="Times New Roman" w:hAnsi="Arial" w:cs="Arial"/>
                <w:color w:val="000000"/>
                <w:sz w:val="20"/>
                <w:szCs w:val="20"/>
                <w:lang w:eastAsia="pt-BR"/>
              </w:rPr>
              <w:t xml:space="preserve"> Force).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1.1.4</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BIOS português ou inglês, desenvolvida em conformidade com a especificação UEFI (</w:t>
            </w:r>
            <w:proofErr w:type="spellStart"/>
            <w:r w:rsidRPr="00030364">
              <w:rPr>
                <w:rFonts w:ascii="Arial" w:eastAsia="Times New Roman" w:hAnsi="Arial" w:cs="Arial"/>
                <w:color w:val="000000"/>
                <w:sz w:val="20"/>
                <w:szCs w:val="20"/>
                <w:lang w:eastAsia="pt-BR"/>
              </w:rPr>
              <w:t>Unified</w:t>
            </w:r>
            <w:proofErr w:type="spellEnd"/>
            <w:r w:rsidRPr="00030364">
              <w:rPr>
                <w:rFonts w:ascii="Arial" w:eastAsia="Times New Roman" w:hAnsi="Arial" w:cs="Arial"/>
                <w:color w:val="000000"/>
                <w:sz w:val="20"/>
                <w:szCs w:val="20"/>
                <w:lang w:eastAsia="pt-BR"/>
              </w:rPr>
              <w:t xml:space="preserve"> </w:t>
            </w:r>
            <w:proofErr w:type="spellStart"/>
            <w:r w:rsidRPr="00030364">
              <w:rPr>
                <w:rFonts w:ascii="Arial" w:eastAsia="Times New Roman" w:hAnsi="Arial" w:cs="Arial"/>
                <w:color w:val="000000"/>
                <w:sz w:val="20"/>
                <w:szCs w:val="20"/>
                <w:lang w:eastAsia="pt-BR"/>
              </w:rPr>
              <w:t>Extensible</w:t>
            </w:r>
            <w:proofErr w:type="spellEnd"/>
            <w:r w:rsidRPr="00030364">
              <w:rPr>
                <w:rFonts w:ascii="Arial" w:eastAsia="Times New Roman" w:hAnsi="Arial" w:cs="Arial"/>
                <w:color w:val="000000"/>
                <w:sz w:val="20"/>
                <w:szCs w:val="20"/>
                <w:lang w:eastAsia="pt-BR"/>
              </w:rPr>
              <w:t xml:space="preserve"> Firmware Interface) 2.1 (http://www.uefi.org).</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1.1.5</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A compatibilidade do fabricante com o padrão UEFI deve ser comprovada por meio do site http://www.uefi.org/members, na categoria “</w:t>
            </w:r>
            <w:proofErr w:type="spellStart"/>
            <w:r w:rsidRPr="00030364">
              <w:rPr>
                <w:rFonts w:ascii="Arial" w:eastAsia="Times New Roman" w:hAnsi="Arial" w:cs="Arial"/>
                <w:color w:val="000000"/>
                <w:sz w:val="20"/>
                <w:szCs w:val="20"/>
                <w:lang w:eastAsia="pt-BR"/>
              </w:rPr>
              <w:t>contributors</w:t>
            </w:r>
            <w:proofErr w:type="spellEnd"/>
            <w:r w:rsidRPr="00030364">
              <w:rPr>
                <w:rFonts w:ascii="Arial" w:eastAsia="Times New Roman" w:hAnsi="Arial" w:cs="Arial"/>
                <w:color w:val="000000"/>
                <w:sz w:val="20"/>
                <w:szCs w:val="20"/>
                <w:lang w:eastAsia="pt-BR"/>
              </w:rPr>
              <w:t>” ou “promoters”.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1.1.6</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 xml:space="preserve">Seis portas USB 3.2. Destas, ao menos duas devem estar localizadas na parte frontal do gabinete do equipamento e uma delas deverá ser USB-C 3.2 </w:t>
            </w:r>
            <w:proofErr w:type="spellStart"/>
            <w:r w:rsidRPr="00030364">
              <w:rPr>
                <w:rFonts w:ascii="Arial" w:eastAsia="Times New Roman" w:hAnsi="Arial" w:cs="Arial"/>
                <w:color w:val="000000"/>
                <w:sz w:val="20"/>
                <w:szCs w:val="20"/>
                <w:lang w:eastAsia="pt-BR"/>
              </w:rPr>
              <w:t>gen</w:t>
            </w:r>
            <w:proofErr w:type="spellEnd"/>
            <w:r w:rsidRPr="00030364">
              <w:rPr>
                <w:rFonts w:ascii="Arial" w:eastAsia="Times New Roman" w:hAnsi="Arial" w:cs="Arial"/>
                <w:color w:val="000000"/>
                <w:sz w:val="20"/>
                <w:szCs w:val="20"/>
                <w:lang w:eastAsia="pt-BR"/>
              </w:rPr>
              <w:t xml:space="preserve"> 1.</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1.1.7</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Deverá o equipamento dispor de software para diagnóstico de problemas com as seguintes características:</w:t>
            </w:r>
          </w:p>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A fim de permitir o teste do equipamento em 2 modos, sendo básico e avançado (teste de stress), com independência do sistema operacional instalado, o software de diagnóstico deve ser capaz de ser executado (inicializado) a partir da UEFI (</w:t>
            </w:r>
            <w:proofErr w:type="spellStart"/>
            <w:r w:rsidRPr="00030364">
              <w:rPr>
                <w:rFonts w:ascii="Arial" w:eastAsia="Times New Roman" w:hAnsi="Arial" w:cs="Arial"/>
                <w:color w:val="000000"/>
                <w:sz w:val="20"/>
                <w:szCs w:val="20"/>
                <w:lang w:eastAsia="pt-BR"/>
              </w:rPr>
              <w:t>Unified</w:t>
            </w:r>
            <w:proofErr w:type="spellEnd"/>
            <w:r w:rsidRPr="00030364">
              <w:rPr>
                <w:rFonts w:ascii="Arial" w:eastAsia="Times New Roman" w:hAnsi="Arial" w:cs="Arial"/>
                <w:color w:val="000000"/>
                <w:sz w:val="20"/>
                <w:szCs w:val="20"/>
                <w:lang w:eastAsia="pt-BR"/>
              </w:rPr>
              <w:t xml:space="preserve"> </w:t>
            </w:r>
            <w:proofErr w:type="spellStart"/>
            <w:r w:rsidRPr="00030364">
              <w:rPr>
                <w:rFonts w:ascii="Arial" w:eastAsia="Times New Roman" w:hAnsi="Arial" w:cs="Arial"/>
                <w:color w:val="000000"/>
                <w:sz w:val="20"/>
                <w:szCs w:val="20"/>
                <w:lang w:eastAsia="pt-BR"/>
              </w:rPr>
              <w:t>Extensible</w:t>
            </w:r>
            <w:proofErr w:type="spellEnd"/>
            <w:r w:rsidRPr="00030364">
              <w:rPr>
                <w:rFonts w:ascii="Arial" w:eastAsia="Times New Roman" w:hAnsi="Arial" w:cs="Arial"/>
                <w:color w:val="000000"/>
                <w:sz w:val="20"/>
                <w:szCs w:val="20"/>
                <w:lang w:eastAsia="pt-BR"/>
              </w:rPr>
              <w:t xml:space="preserve"> Firmware Interface) ou do Firmware do equipamento através do acionamento de tecla função (F</w:t>
            </w:r>
            <w:proofErr w:type="gramStart"/>
            <w:r w:rsidRPr="00030364">
              <w:rPr>
                <w:rFonts w:ascii="Arial" w:eastAsia="Times New Roman" w:hAnsi="Arial" w:cs="Arial"/>
                <w:color w:val="000000"/>
                <w:sz w:val="20"/>
                <w:szCs w:val="20"/>
                <w:lang w:eastAsia="pt-BR"/>
              </w:rPr>
              <w:t>1..</w:t>
            </w:r>
            <w:proofErr w:type="gramEnd"/>
            <w:r w:rsidRPr="00030364">
              <w:rPr>
                <w:rFonts w:ascii="Arial" w:eastAsia="Times New Roman" w:hAnsi="Arial" w:cs="Arial"/>
                <w:color w:val="000000"/>
                <w:sz w:val="20"/>
                <w:szCs w:val="20"/>
                <w:lang w:eastAsia="pt-BR"/>
              </w:rPr>
              <w:t>F12).  O software de diagnóstico deverá ser capaz de informar, através de tela gráfica o fabricante, modelo do equipamento; número de série e realizar testes dos componentes: processador; placa de vídeo; memória RAM; disco rígido; portas de comunicação.  Deverá verificar, testar e emitir relatório, através de tela gráfica que mostre o andamento do teste, dos seguintes componentes: Processador; Memória; Disco rígido (ou memória de armazenamento)</w:t>
            </w:r>
          </w:p>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A mensagem de erro gerada por este diagnóstico deverá ser o suficiente para abertura de chamado do equipamento durante o período de vigência da garantia;</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1.1.8</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Deverá permitir acesso remoto para gerenciamento out-</w:t>
            </w:r>
            <w:proofErr w:type="spellStart"/>
            <w:r w:rsidRPr="00030364">
              <w:rPr>
                <w:rFonts w:ascii="Arial" w:eastAsia="Times New Roman" w:hAnsi="Arial" w:cs="Arial"/>
                <w:color w:val="000000"/>
                <w:sz w:val="20"/>
                <w:szCs w:val="20"/>
                <w:lang w:eastAsia="pt-BR"/>
              </w:rPr>
              <w:t>of</w:t>
            </w:r>
            <w:proofErr w:type="spellEnd"/>
            <w:r w:rsidRPr="00030364">
              <w:rPr>
                <w:rFonts w:ascii="Arial" w:eastAsia="Times New Roman" w:hAnsi="Arial" w:cs="Arial"/>
                <w:color w:val="000000"/>
                <w:sz w:val="20"/>
                <w:szCs w:val="20"/>
                <w:lang w:eastAsia="pt-BR"/>
              </w:rPr>
              <w:t>-</w:t>
            </w:r>
            <w:proofErr w:type="spellStart"/>
            <w:r w:rsidRPr="00030364">
              <w:rPr>
                <w:rFonts w:ascii="Arial" w:eastAsia="Times New Roman" w:hAnsi="Arial" w:cs="Arial"/>
                <w:color w:val="000000"/>
                <w:sz w:val="20"/>
                <w:szCs w:val="20"/>
                <w:lang w:eastAsia="pt-BR"/>
              </w:rPr>
              <w:t>band</w:t>
            </w:r>
            <w:proofErr w:type="spellEnd"/>
            <w:r w:rsidRPr="00030364">
              <w:rPr>
                <w:rFonts w:ascii="Arial" w:eastAsia="Times New Roman" w:hAnsi="Arial" w:cs="Arial"/>
                <w:color w:val="000000"/>
                <w:sz w:val="20"/>
                <w:szCs w:val="20"/>
                <w:lang w:eastAsia="pt-BR"/>
              </w:rPr>
              <w:t>, mesmo com a máquina desligada</w:t>
            </w:r>
            <w:r w:rsidRPr="00030364">
              <w:rPr>
                <w:rFonts w:ascii="Arial" w:eastAsia="Arial" w:hAnsi="Arial" w:cs="Arial"/>
                <w:sz w:val="20"/>
                <w:szCs w:val="24"/>
                <w:lang w:eastAsia="pt-BR"/>
              </w:rPr>
              <w:t>, mas conectada à rede elétrica,</w:t>
            </w:r>
            <w:r w:rsidRPr="00030364">
              <w:rPr>
                <w:rFonts w:ascii="Arial" w:eastAsia="Times New Roman" w:hAnsi="Arial" w:cs="Arial"/>
                <w:color w:val="000000"/>
                <w:sz w:val="20"/>
                <w:szCs w:val="20"/>
                <w:lang w:eastAsia="pt-BR"/>
              </w:rPr>
              <w:t xml:space="preserve"> sem a necessidade de configuração </w:t>
            </w:r>
            <w:r w:rsidRPr="00030364">
              <w:rPr>
                <w:rFonts w:ascii="Arial" w:eastAsia="Times New Roman" w:hAnsi="Arial" w:cs="Arial"/>
                <w:color w:val="000000"/>
                <w:sz w:val="20"/>
                <w:szCs w:val="20"/>
                <w:lang w:eastAsia="pt-BR"/>
              </w:rPr>
              <w:lastRenderedPageBreak/>
              <w:t>local adicional, ou seja, o firmware já deve vir pronto e configurado para o gerenciamento out-</w:t>
            </w:r>
            <w:proofErr w:type="spellStart"/>
            <w:r w:rsidRPr="00030364">
              <w:rPr>
                <w:rFonts w:ascii="Arial" w:eastAsia="Times New Roman" w:hAnsi="Arial" w:cs="Arial"/>
                <w:color w:val="000000"/>
                <w:sz w:val="20"/>
                <w:szCs w:val="20"/>
                <w:lang w:eastAsia="pt-BR"/>
              </w:rPr>
              <w:t>of</w:t>
            </w:r>
            <w:proofErr w:type="spellEnd"/>
            <w:r w:rsidRPr="00030364">
              <w:rPr>
                <w:rFonts w:ascii="Arial" w:eastAsia="Times New Roman" w:hAnsi="Arial" w:cs="Arial"/>
                <w:color w:val="000000"/>
                <w:sz w:val="20"/>
                <w:szCs w:val="20"/>
                <w:lang w:eastAsia="pt-BR"/>
              </w:rPr>
              <w:t>-</w:t>
            </w:r>
            <w:proofErr w:type="spellStart"/>
            <w:r w:rsidRPr="00030364">
              <w:rPr>
                <w:rFonts w:ascii="Arial" w:eastAsia="Times New Roman" w:hAnsi="Arial" w:cs="Arial"/>
                <w:color w:val="000000"/>
                <w:sz w:val="20"/>
                <w:szCs w:val="20"/>
                <w:lang w:eastAsia="pt-BR"/>
              </w:rPr>
              <w:t>band</w:t>
            </w:r>
            <w:proofErr w:type="spellEnd"/>
            <w:r w:rsidRPr="00030364">
              <w:rPr>
                <w:rFonts w:ascii="Arial" w:eastAsia="Times New Roman" w:hAnsi="Arial" w:cs="Arial"/>
                <w:color w:val="000000"/>
                <w:sz w:val="20"/>
                <w:szCs w:val="20"/>
                <w:lang w:eastAsia="pt-BR"/>
              </w:rPr>
              <w:t>, sendo admitido apenas configuração adicional que possa ser realizada remotamente. O gerenciamento out-</w:t>
            </w:r>
            <w:proofErr w:type="spellStart"/>
            <w:r w:rsidRPr="00030364">
              <w:rPr>
                <w:rFonts w:ascii="Arial" w:eastAsia="Times New Roman" w:hAnsi="Arial" w:cs="Arial"/>
                <w:color w:val="000000"/>
                <w:sz w:val="20"/>
                <w:szCs w:val="20"/>
                <w:lang w:eastAsia="pt-BR"/>
              </w:rPr>
              <w:t>of</w:t>
            </w:r>
            <w:proofErr w:type="spellEnd"/>
            <w:r w:rsidRPr="00030364">
              <w:rPr>
                <w:rFonts w:ascii="Arial" w:eastAsia="Times New Roman" w:hAnsi="Arial" w:cs="Arial"/>
                <w:color w:val="000000"/>
                <w:sz w:val="20"/>
                <w:szCs w:val="20"/>
                <w:lang w:eastAsia="pt-BR"/>
              </w:rPr>
              <w:t>-</w:t>
            </w:r>
            <w:proofErr w:type="spellStart"/>
            <w:r w:rsidRPr="00030364">
              <w:rPr>
                <w:rFonts w:ascii="Arial" w:eastAsia="Times New Roman" w:hAnsi="Arial" w:cs="Arial"/>
                <w:color w:val="000000"/>
                <w:sz w:val="20"/>
                <w:szCs w:val="20"/>
                <w:lang w:eastAsia="pt-BR"/>
              </w:rPr>
              <w:t>band</w:t>
            </w:r>
            <w:proofErr w:type="spellEnd"/>
            <w:r w:rsidRPr="00030364">
              <w:rPr>
                <w:rFonts w:ascii="Arial" w:eastAsia="Times New Roman" w:hAnsi="Arial" w:cs="Arial"/>
                <w:color w:val="000000"/>
                <w:sz w:val="20"/>
                <w:szCs w:val="20"/>
                <w:lang w:eastAsia="pt-BR"/>
              </w:rPr>
              <w:t xml:space="preserve"> deve funcionar de forma descentralizada, ou seja, permitir o acesso pontual a uma máquina a partir de uma outra máquina qualquer, e também centralizado, ou seja, a partir de uma console onde múltiplas máquinas poderão ser inventariadas (</w:t>
            </w:r>
            <w:proofErr w:type="spellStart"/>
            <w:r w:rsidRPr="00030364">
              <w:rPr>
                <w:rFonts w:ascii="Arial" w:eastAsia="Times New Roman" w:hAnsi="Arial" w:cs="Arial"/>
                <w:color w:val="000000"/>
                <w:sz w:val="20"/>
                <w:szCs w:val="20"/>
                <w:lang w:eastAsia="pt-BR"/>
              </w:rPr>
              <w:t>enrollment</w:t>
            </w:r>
            <w:proofErr w:type="spellEnd"/>
            <w:r w:rsidRPr="00030364">
              <w:rPr>
                <w:rFonts w:ascii="Arial" w:eastAsia="Times New Roman" w:hAnsi="Arial" w:cs="Arial"/>
                <w:color w:val="000000"/>
                <w:sz w:val="20"/>
                <w:szCs w:val="20"/>
                <w:lang w:eastAsia="pt-BR"/>
              </w:rPr>
              <w:t>) mediante recursos de descoberta de rede e gerenciadas. Deve ser fornecido, por meio de mídia ou link para download, todo o software necessário para o gerenciamento out-</w:t>
            </w:r>
            <w:proofErr w:type="spellStart"/>
            <w:r w:rsidRPr="00030364">
              <w:rPr>
                <w:rFonts w:ascii="Arial" w:eastAsia="Times New Roman" w:hAnsi="Arial" w:cs="Arial"/>
                <w:color w:val="000000"/>
                <w:sz w:val="20"/>
                <w:szCs w:val="20"/>
                <w:lang w:eastAsia="pt-BR"/>
              </w:rPr>
              <w:t>of</w:t>
            </w:r>
            <w:proofErr w:type="spellEnd"/>
            <w:r w:rsidRPr="00030364">
              <w:rPr>
                <w:rFonts w:ascii="Arial" w:eastAsia="Times New Roman" w:hAnsi="Arial" w:cs="Arial"/>
                <w:color w:val="000000"/>
                <w:sz w:val="20"/>
                <w:szCs w:val="20"/>
                <w:lang w:eastAsia="pt-BR"/>
              </w:rPr>
              <w:t>-</w:t>
            </w:r>
            <w:proofErr w:type="spellStart"/>
            <w:r w:rsidRPr="00030364">
              <w:rPr>
                <w:rFonts w:ascii="Arial" w:eastAsia="Times New Roman" w:hAnsi="Arial" w:cs="Arial"/>
                <w:color w:val="000000"/>
                <w:sz w:val="20"/>
                <w:szCs w:val="20"/>
                <w:lang w:eastAsia="pt-BR"/>
              </w:rPr>
              <w:t>band</w:t>
            </w:r>
            <w:proofErr w:type="spellEnd"/>
            <w:r w:rsidRPr="00030364">
              <w:rPr>
                <w:rFonts w:ascii="Arial" w:eastAsia="Times New Roman" w:hAnsi="Arial" w:cs="Arial"/>
                <w:color w:val="000000"/>
                <w:sz w:val="20"/>
                <w:szCs w:val="20"/>
                <w:lang w:eastAsia="pt-BR"/>
              </w:rPr>
              <w:t xml:space="preserve"> e toda a documentação necessária para instalação, configuração e operação. O gerenciamento out-</w:t>
            </w:r>
            <w:proofErr w:type="spellStart"/>
            <w:r w:rsidRPr="00030364">
              <w:rPr>
                <w:rFonts w:ascii="Arial" w:eastAsia="Times New Roman" w:hAnsi="Arial" w:cs="Arial"/>
                <w:color w:val="000000"/>
                <w:sz w:val="20"/>
                <w:szCs w:val="20"/>
                <w:lang w:eastAsia="pt-BR"/>
              </w:rPr>
              <w:t>of</w:t>
            </w:r>
            <w:proofErr w:type="spellEnd"/>
            <w:r w:rsidRPr="00030364">
              <w:rPr>
                <w:rFonts w:ascii="Arial" w:eastAsia="Times New Roman" w:hAnsi="Arial" w:cs="Arial"/>
                <w:color w:val="000000"/>
                <w:sz w:val="20"/>
                <w:szCs w:val="20"/>
                <w:lang w:eastAsia="pt-BR"/>
              </w:rPr>
              <w:t>-</w:t>
            </w:r>
            <w:proofErr w:type="spellStart"/>
            <w:r w:rsidRPr="00030364">
              <w:rPr>
                <w:rFonts w:ascii="Arial" w:eastAsia="Times New Roman" w:hAnsi="Arial" w:cs="Arial"/>
                <w:color w:val="000000"/>
                <w:sz w:val="20"/>
                <w:szCs w:val="20"/>
                <w:lang w:eastAsia="pt-BR"/>
              </w:rPr>
              <w:t>band</w:t>
            </w:r>
            <w:proofErr w:type="spellEnd"/>
            <w:r w:rsidRPr="00030364">
              <w:rPr>
                <w:rFonts w:ascii="Arial" w:eastAsia="Times New Roman" w:hAnsi="Arial" w:cs="Arial"/>
                <w:color w:val="000000"/>
                <w:sz w:val="20"/>
                <w:szCs w:val="20"/>
                <w:lang w:eastAsia="pt-BR"/>
              </w:rPr>
              <w:t xml:space="preserve"> deve permitir operações tais como: ligar e desligar a máquina, acessar e alterar configurações do firmware, atualizar firmware, bem como iniciar ou acessar uma sessão do sistema operacional com o consentimento do usuário da sessão, com possibilidade de assumir o controle remoto do mouse e teclado, independente do suporte de aplicações locais ou estado do sistema operacional. Estes recursos deverão funcionar perfeitamente em ambiente com 802.1X e MS-CHAP v2.</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1.1.9</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Deverá possuir mecanismo de hardware e ou software ou mesmo ambos em conjunto que executem auto reparo da BIOS e firmware quando corrompidos ou adulterados por ataques cibernéticos usando uma cópia íntegra que deve estar armazenada em área segura.</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1.1.10</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Calibri" w:hAnsi="Arial" w:cs="Arial"/>
                <w:sz w:val="20"/>
                <w:szCs w:val="20"/>
              </w:rPr>
              <w:t>A BIOS deve estar em conformidade com a normativa NIST 800-147 baseado em padrões de mercado de maneira a usar métodos de criptografia robusta para verificar a integridade da BIOS antes de passar o controle de execução da mesma</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1.1.11</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Calibri" w:hAnsi="Arial" w:cs="Arial"/>
                <w:sz w:val="20"/>
                <w:szCs w:val="20"/>
              </w:rPr>
            </w:pPr>
            <w:r w:rsidRPr="00030364">
              <w:rPr>
                <w:rFonts w:ascii="Arial" w:eastAsia="Calibri" w:hAnsi="Arial" w:cs="Arial"/>
                <w:sz w:val="20"/>
                <w:szCs w:val="20"/>
              </w:rPr>
              <w:t>A BIOS deverá permitir alterações e salvá-las em um arquivo ou executável, permitindo carregar as configurações em todos os equipamentos do mesmo modelo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1.1.12</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Calibri" w:hAnsi="Arial" w:cs="Arial"/>
                <w:sz w:val="20"/>
                <w:szCs w:val="20"/>
              </w:rPr>
            </w:pPr>
            <w:r w:rsidRPr="00030364">
              <w:rPr>
                <w:rFonts w:ascii="Arial" w:eastAsia="Calibri" w:hAnsi="Arial" w:cs="Arial"/>
                <w:sz w:val="20"/>
                <w:szCs w:val="20"/>
              </w:rPr>
              <w:t>Deverá possuir slot de memória disponível para upgrade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1.1.13</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Calibri" w:hAnsi="Arial" w:cs="Arial"/>
                <w:sz w:val="20"/>
                <w:szCs w:val="20"/>
                <w:lang w:val="en-US"/>
              </w:rPr>
            </w:pPr>
            <w:hyperlink r:id="rId5">
              <w:r w:rsidRPr="00030364">
                <w:rPr>
                  <w:rFonts w:ascii="Arial" w:eastAsia="Calibri" w:hAnsi="Arial" w:cs="Arial"/>
                  <w:color w:val="0000FF"/>
                  <w:sz w:val="20"/>
                  <w:szCs w:val="20"/>
                  <w:u w:val="single"/>
                  <w:lang w:val="en-US"/>
                </w:rPr>
                <w:t>Trusted Platform Module (TPM)</w:t>
              </w:r>
            </w:hyperlink>
            <w:r w:rsidRPr="00030364">
              <w:rPr>
                <w:rFonts w:ascii="Arial" w:eastAsia="Calibri" w:hAnsi="Arial" w:cs="Arial"/>
                <w:sz w:val="20"/>
                <w:szCs w:val="20"/>
                <w:lang w:val="en-US"/>
              </w:rPr>
              <w:t xml:space="preserve"> </w:t>
            </w:r>
            <w:proofErr w:type="spellStart"/>
            <w:r w:rsidRPr="00030364">
              <w:rPr>
                <w:rFonts w:ascii="Arial" w:eastAsia="Calibri" w:hAnsi="Arial" w:cs="Arial"/>
                <w:sz w:val="20"/>
                <w:szCs w:val="20"/>
                <w:lang w:val="en-US"/>
              </w:rPr>
              <w:t>versão</w:t>
            </w:r>
            <w:proofErr w:type="spellEnd"/>
            <w:r w:rsidRPr="00030364">
              <w:rPr>
                <w:rFonts w:ascii="Arial" w:eastAsia="Calibri" w:hAnsi="Arial" w:cs="Arial"/>
                <w:sz w:val="20"/>
                <w:szCs w:val="20"/>
                <w:lang w:val="en-US"/>
              </w:rPr>
              <w:t xml:space="preserve"> 2.0.</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val="en-US"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val="en-US"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val="en-US"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Interface de rede local</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1.2.1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Padrão 10Base-T, 100Base-Tx e 1000Base-T, com detecção automática de velocidade;</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1.2.2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Conector 8P8C (RJ-45) fêmea;</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1.2.3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Implementação dos padrões IEEE 802.3 e 802.3x;</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lastRenderedPageBreak/>
              <w:t>1.2.4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Ativação remota do computador pela rede (“Wake </w:t>
            </w:r>
            <w:proofErr w:type="spellStart"/>
            <w:r w:rsidRPr="00030364">
              <w:rPr>
                <w:rFonts w:ascii="Arial" w:eastAsia="Arial" w:hAnsi="Arial" w:cs="Arial"/>
                <w:sz w:val="20"/>
                <w:szCs w:val="24"/>
                <w:lang w:eastAsia="pt-BR"/>
              </w:rPr>
              <w:t>on</w:t>
            </w:r>
            <w:proofErr w:type="spellEnd"/>
            <w:r w:rsidRPr="00030364">
              <w:rPr>
                <w:rFonts w:ascii="Arial" w:eastAsia="Arial" w:hAnsi="Arial" w:cs="Arial"/>
                <w:sz w:val="20"/>
                <w:szCs w:val="24"/>
                <w:lang w:eastAsia="pt-BR"/>
              </w:rPr>
              <w:t xml:space="preserve"> Lan”), suportada completamente por ele, incluindo todos os recursos necessários;</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1.2.5</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val="en-US" w:eastAsia="pt-BR"/>
              </w:rPr>
            </w:pPr>
            <w:proofErr w:type="spellStart"/>
            <w:r w:rsidRPr="00030364">
              <w:rPr>
                <w:rFonts w:ascii="Arial" w:eastAsia="Arial" w:hAnsi="Arial" w:cs="Arial"/>
                <w:sz w:val="20"/>
                <w:szCs w:val="24"/>
                <w:lang w:val="en-US" w:eastAsia="pt-BR"/>
              </w:rPr>
              <w:t>Suporte</w:t>
            </w:r>
            <w:proofErr w:type="spellEnd"/>
            <w:r w:rsidRPr="00030364">
              <w:rPr>
                <w:rFonts w:ascii="Arial" w:eastAsia="Arial" w:hAnsi="Arial" w:cs="Arial"/>
                <w:sz w:val="20"/>
                <w:szCs w:val="24"/>
                <w:lang w:val="en-US" w:eastAsia="pt-BR"/>
              </w:rPr>
              <w:t xml:space="preserve"> a PXE (“Pre-Boot Execution Environment”)</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val="en-US"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val="en-US"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val="en-US"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Processador</w:t>
            </w:r>
          </w:p>
        </w:tc>
      </w:tr>
      <w:tr w:rsidR="00030364" w:rsidRPr="00030364" w:rsidTr="00E84AED">
        <w:trPr>
          <w:trHeight w:val="460"/>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ind w:left="96"/>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1.3.1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ind w:left="77"/>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Que possibilite que a máquina ofertada atinja índice 1300 do software </w:t>
            </w:r>
            <w:proofErr w:type="spellStart"/>
            <w:proofErr w:type="gramStart"/>
            <w:r w:rsidRPr="00030364">
              <w:rPr>
                <w:rFonts w:ascii="Arial" w:eastAsia="Arial" w:hAnsi="Arial" w:cs="Arial"/>
                <w:sz w:val="20"/>
                <w:szCs w:val="24"/>
                <w:lang w:eastAsia="pt-BR"/>
              </w:rPr>
              <w:t>Bapco</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Sysmark</w:t>
            </w:r>
            <w:proofErr w:type="spellEnd"/>
            <w:proofErr w:type="gramEnd"/>
            <w:r w:rsidRPr="00030364">
              <w:rPr>
                <w:rFonts w:ascii="Arial" w:eastAsia="Arial" w:hAnsi="Arial" w:cs="Arial"/>
                <w:sz w:val="20"/>
                <w:szCs w:val="24"/>
                <w:lang w:eastAsia="pt-BR"/>
              </w:rPr>
              <w:t xml:space="preserve"> 25;</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1.3.2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Suporte à memória viva DDR4 ou superior;</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1.3.3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Com tecnologia de, no mínimo, </w:t>
            </w:r>
            <w:r w:rsidRPr="00030364">
              <w:rPr>
                <w:rFonts w:ascii="Arial" w:eastAsia="Times New Roman" w:hAnsi="Arial" w:cs="Arial"/>
                <w:sz w:val="20"/>
                <w:szCs w:val="24"/>
                <w:highlight w:val="white"/>
                <w:lang w:eastAsia="pt-BR"/>
              </w:rPr>
              <w:t>6 núcleos com 12 threads</w:t>
            </w:r>
            <w:r w:rsidRPr="00030364">
              <w:rPr>
                <w:rFonts w:ascii="Arial" w:eastAsia="Arial" w:hAnsi="Arial" w:cs="Arial"/>
                <w:sz w:val="20"/>
                <w:szCs w:val="24"/>
                <w:lang w:eastAsia="pt-BR"/>
              </w:rPr>
              <w:t>, compatível com 64 bits.</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1.3.4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212121"/>
                <w:sz w:val="20"/>
                <w:szCs w:val="24"/>
                <w:lang w:eastAsia="pt-BR"/>
              </w:rPr>
              <w:t>Possuir gerador de números aleatórios na CPU</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1.3.5</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212121"/>
                <w:sz w:val="20"/>
                <w:szCs w:val="24"/>
                <w:lang w:eastAsia="pt-BR"/>
              </w:rPr>
              <w:t>Possuir capacidade de criar áreas de acesso privado à algumas aplicações</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1.3.6</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Integrante da geração mais recente produzida pelo fabricante e disponível no Brasil</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 xml:space="preserve">Memória </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1.4.1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Memória viva DDR4 SDRAM ou superior, homologada pelo fabricante;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1.4.2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Capacidade mínima total de 8GB (oito Gigabytes).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1.4.3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Além da capacidade total de 8GB (oito Gigabytes), a </w:t>
            </w:r>
            <w:proofErr w:type="spellStart"/>
            <w:r w:rsidRPr="00030364">
              <w:rPr>
                <w:rFonts w:ascii="Arial" w:eastAsia="Arial" w:hAnsi="Arial" w:cs="Arial"/>
                <w:sz w:val="20"/>
                <w:szCs w:val="24"/>
                <w:lang w:eastAsia="pt-BR"/>
              </w:rPr>
              <w:t>placa-mãe</w:t>
            </w:r>
            <w:proofErr w:type="spellEnd"/>
            <w:r w:rsidRPr="00030364">
              <w:rPr>
                <w:rFonts w:ascii="Arial" w:eastAsia="Arial" w:hAnsi="Arial" w:cs="Arial"/>
                <w:sz w:val="20"/>
                <w:szCs w:val="24"/>
                <w:lang w:eastAsia="pt-BR"/>
              </w:rPr>
              <w:t xml:space="preserve"> deverá possuir um slot de memória disponível para upgrade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Unidade de armazenamento de massa</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1.5.1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Constituído de memória não volátil do tipo SSD </w:t>
            </w:r>
            <w:proofErr w:type="spellStart"/>
            <w:r w:rsidRPr="00030364">
              <w:rPr>
                <w:rFonts w:ascii="Arial" w:eastAsia="Arial" w:hAnsi="Arial" w:cs="Arial"/>
                <w:sz w:val="20"/>
                <w:szCs w:val="24"/>
                <w:lang w:eastAsia="pt-BR"/>
              </w:rPr>
              <w:t>NVMe</w:t>
            </w:r>
            <w:proofErr w:type="spellEnd"/>
            <w:r w:rsidRPr="00030364">
              <w:rPr>
                <w:rFonts w:ascii="Arial" w:eastAsia="Arial" w:hAnsi="Arial" w:cs="Arial"/>
                <w:sz w:val="20"/>
                <w:szCs w:val="24"/>
                <w:lang w:eastAsia="pt-BR"/>
              </w:rPr>
              <w:t xml:space="preserve"> M2;</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1.5.2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Com capacidade mínima de 256 GB (duzentos e quarenta gigabytes);</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1.5.3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Tempo médio entre falhas de ao menos 1.500.000 (um milhão e quinhentas mil) horas;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1.5.4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Leitura e escrita dinâmica sequencial com as seguintes velocidades mínimas: 1900MB/s 900MB/s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Controladora de vídeo</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1.6.1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Acionadores de dispositivo Windows 11;</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1.6.2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Duas saídas de vídeo digitais ativas simultaneamente;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1.6.3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Alcançar a resolução máxima de, no mínimo, 4.096 </w:t>
            </w:r>
            <w:proofErr w:type="gramStart"/>
            <w:r w:rsidRPr="00030364">
              <w:rPr>
                <w:rFonts w:ascii="Arial" w:eastAsia="Arial" w:hAnsi="Arial" w:cs="Arial"/>
                <w:sz w:val="20"/>
                <w:szCs w:val="24"/>
                <w:lang w:eastAsia="pt-BR"/>
              </w:rPr>
              <w:t>X</w:t>
            </w:r>
            <w:proofErr w:type="gramEnd"/>
            <w:r w:rsidRPr="00030364">
              <w:rPr>
                <w:rFonts w:ascii="Arial" w:eastAsia="Arial" w:hAnsi="Arial" w:cs="Arial"/>
                <w:sz w:val="20"/>
                <w:szCs w:val="24"/>
                <w:lang w:eastAsia="pt-BR"/>
              </w:rPr>
              <w:t xml:space="preserve"> 2.160 a 30Hz;</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1.6.4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212121"/>
                <w:sz w:val="20"/>
                <w:szCs w:val="24"/>
                <w:highlight w:val="white"/>
                <w:lang w:eastAsia="pt-BR"/>
              </w:rPr>
              <w:t>Controladora de vídeo com memória dinâmica com capacidade de alocar até no mínimo 8 GB.</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trHeight w:val="319"/>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1.6.5</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color w:val="212121"/>
                <w:sz w:val="20"/>
                <w:szCs w:val="24"/>
                <w:highlight w:val="white"/>
                <w:lang w:eastAsia="pt-BR"/>
              </w:rPr>
              <w:t>Gráficos compatíveis com DirectX 12/WDDM 2.x</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Controlador de áudio</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1.7.1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Conector frontal de som com entrada de microfone e saída de fone de ouvido;</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lastRenderedPageBreak/>
              <w:t>1.7.2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Conector de saída de som (fone de ouvido ou caixa de som);</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1.7.3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Ao menos um alto-falante integrado ao gabinete, conectado diretamente à controladora de som da própria estação de trabalho, com potência de 1 W</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Fonte de alimentação</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1.8.1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Potência de, no mínimo, 65 Watts;</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1.8.2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Arial" w:hAnsi="Arial" w:cs="Arial"/>
                <w:sz w:val="20"/>
                <w:szCs w:val="24"/>
                <w:lang w:eastAsia="pt-BR"/>
              </w:rPr>
            </w:pPr>
            <w:r w:rsidRPr="00030364">
              <w:rPr>
                <w:rFonts w:ascii="Arial" w:eastAsia="Arial" w:hAnsi="Arial" w:cs="Arial"/>
                <w:sz w:val="20"/>
                <w:szCs w:val="24"/>
                <w:lang w:eastAsia="pt-BR"/>
              </w:rPr>
              <w:t>Eficiência energética de, no mínimo, 87%. A comprovação se dará por meio de qualquer das opções abaixo:</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1.8.2.1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Arial" w:hAnsi="Arial" w:cs="Arial"/>
                <w:sz w:val="20"/>
                <w:szCs w:val="24"/>
                <w:lang w:eastAsia="pt-BR"/>
              </w:rPr>
            </w:pPr>
            <w:proofErr w:type="gramStart"/>
            <w:r w:rsidRPr="00030364">
              <w:rPr>
                <w:rFonts w:ascii="Arial" w:eastAsia="Arial" w:hAnsi="Arial" w:cs="Arial"/>
                <w:sz w:val="20"/>
                <w:szCs w:val="24"/>
                <w:lang w:eastAsia="pt-BR"/>
              </w:rPr>
              <w:t>laudo</w:t>
            </w:r>
            <w:proofErr w:type="gramEnd"/>
            <w:r w:rsidRPr="00030364">
              <w:rPr>
                <w:rFonts w:ascii="Arial" w:eastAsia="Arial" w:hAnsi="Arial" w:cs="Arial"/>
                <w:sz w:val="20"/>
                <w:szCs w:val="24"/>
                <w:lang w:eastAsia="pt-BR"/>
              </w:rPr>
              <w:t xml:space="preserve"> técnico ou certificado emitido pelo IPT, INMETRO ou outro laboratório/órgão credenciado e reconhecido</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1.8.2.2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Arial" w:hAnsi="Arial" w:cs="Arial"/>
                <w:sz w:val="20"/>
                <w:szCs w:val="24"/>
                <w:lang w:eastAsia="pt-BR"/>
              </w:rPr>
            </w:pPr>
            <w:proofErr w:type="gramStart"/>
            <w:r w:rsidRPr="00030364">
              <w:rPr>
                <w:rFonts w:ascii="Arial" w:eastAsia="Arial" w:hAnsi="Arial" w:cs="Arial"/>
                <w:sz w:val="20"/>
                <w:szCs w:val="24"/>
                <w:lang w:eastAsia="pt-BR"/>
              </w:rPr>
              <w:t>cadastro</w:t>
            </w:r>
            <w:proofErr w:type="gramEnd"/>
            <w:r w:rsidRPr="00030364">
              <w:rPr>
                <w:rFonts w:ascii="Arial" w:eastAsia="Arial" w:hAnsi="Arial" w:cs="Arial"/>
                <w:sz w:val="20"/>
                <w:szCs w:val="24"/>
                <w:lang w:eastAsia="pt-BR"/>
              </w:rPr>
              <w:t xml:space="preserve"> no sítio http://80plus.com/ na categoria correspondente à eficiência energética exigida.</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1.8.3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Operação na tensão 220 volts ou bivolt automático;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1.8.4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b/>
                <w:color w:val="000000"/>
                <w:sz w:val="20"/>
                <w:szCs w:val="20"/>
                <w:lang w:eastAsia="pt-BR"/>
              </w:rPr>
            </w:pPr>
            <w:r w:rsidRPr="00030364">
              <w:rPr>
                <w:rFonts w:ascii="Arial" w:eastAsia="Arial" w:hAnsi="Arial" w:cs="Arial"/>
                <w:sz w:val="20"/>
                <w:szCs w:val="24"/>
                <w:lang w:eastAsia="pt-BR"/>
              </w:rPr>
              <w:t>Acompanhada de cabo de alimentação elétrica original de fábrica, com plugue no novo padrão brasileiro (NBR 14136:2002).</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 xml:space="preserve">Teclado </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1.9.1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b/>
                <w:color w:val="000000"/>
                <w:sz w:val="20"/>
                <w:szCs w:val="20"/>
                <w:lang w:eastAsia="pt-BR"/>
              </w:rPr>
            </w:pPr>
            <w:r w:rsidRPr="00030364">
              <w:rPr>
                <w:rFonts w:ascii="Arial" w:eastAsia="Arial" w:hAnsi="Arial" w:cs="Arial"/>
                <w:sz w:val="20"/>
                <w:szCs w:val="24"/>
                <w:lang w:eastAsia="pt-BR"/>
              </w:rPr>
              <w:t>Teclado com o mínimo de 107 teclas, ABNT NBR 10346:1991 variante 2, NBR 10347;</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1.9.2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b/>
                <w:color w:val="000000"/>
                <w:sz w:val="20"/>
                <w:szCs w:val="20"/>
                <w:lang w:eastAsia="pt-BR"/>
              </w:rPr>
            </w:pPr>
            <w:r w:rsidRPr="00030364">
              <w:rPr>
                <w:rFonts w:ascii="Arial" w:eastAsia="Arial" w:hAnsi="Arial" w:cs="Arial"/>
                <w:sz w:val="20"/>
                <w:szCs w:val="24"/>
                <w:lang w:eastAsia="pt-BR"/>
              </w:rPr>
              <w:t>Conector USB, vedado o uso de adaptadores;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1.9.3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Compatível com os microcomputadores a serem fornecidos, inclusive quanto à cor predominante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Mouse</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1.10.1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Dispositivo apontador óptico, ambidestro;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1.10.2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Resolução mínima de 1000 </w:t>
            </w:r>
            <w:proofErr w:type="spellStart"/>
            <w:r w:rsidRPr="00030364">
              <w:rPr>
                <w:rFonts w:ascii="Arial" w:eastAsia="Arial" w:hAnsi="Arial" w:cs="Arial"/>
                <w:sz w:val="20"/>
                <w:szCs w:val="24"/>
                <w:lang w:eastAsia="pt-BR"/>
              </w:rPr>
              <w:t>pt</w:t>
            </w:r>
            <w:proofErr w:type="spellEnd"/>
            <w:r w:rsidRPr="00030364">
              <w:rPr>
                <w:rFonts w:ascii="Arial" w:eastAsia="Arial" w:hAnsi="Arial" w:cs="Arial"/>
                <w:sz w:val="20"/>
                <w:szCs w:val="24"/>
                <w:lang w:eastAsia="pt-BR"/>
              </w:rPr>
              <w:t>/</w:t>
            </w:r>
            <w:proofErr w:type="spellStart"/>
            <w:r w:rsidRPr="00030364">
              <w:rPr>
                <w:rFonts w:ascii="Arial" w:eastAsia="Arial" w:hAnsi="Arial" w:cs="Arial"/>
                <w:sz w:val="20"/>
                <w:szCs w:val="24"/>
                <w:lang w:eastAsia="pt-BR"/>
              </w:rPr>
              <w:t>pol</w:t>
            </w:r>
            <w:proofErr w:type="spellEnd"/>
            <w:r w:rsidRPr="00030364">
              <w:rPr>
                <w:rFonts w:ascii="Arial" w:eastAsia="Arial" w:hAnsi="Arial" w:cs="Arial"/>
                <w:sz w:val="20"/>
                <w:szCs w:val="24"/>
                <w:lang w:eastAsia="pt-BR"/>
              </w:rPr>
              <w:t>;</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1.10.3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Dois a quatro botões e um acionador de rolagem (scroll);</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1.10.4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Conector USB, vedado o uso de adaptadores;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trHeight w:val="279"/>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1.10.5</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Compatível com os microcomputadores a serem fornecidos, inclusive quanto à cor predominante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 xml:space="preserve">Monitor de vídeo </w:t>
            </w:r>
          </w:p>
        </w:tc>
      </w:tr>
      <w:tr w:rsidR="00030364" w:rsidRPr="00030364" w:rsidTr="00E84AED">
        <w:trPr>
          <w:jc w:val="center"/>
        </w:trPr>
        <w:tc>
          <w:tcPr>
            <w:tcW w:w="1545" w:type="dxa"/>
            <w:tcBorders>
              <w:top w:val="single" w:sz="12" w:space="0" w:color="auto"/>
              <w:left w:val="single" w:sz="12" w:space="0" w:color="auto"/>
              <w:bottom w:val="single" w:sz="4"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1.11.1</w:t>
            </w:r>
          </w:p>
        </w:tc>
        <w:tc>
          <w:tcPr>
            <w:tcW w:w="4252" w:type="dxa"/>
            <w:tcBorders>
              <w:top w:val="single" w:sz="12" w:space="0" w:color="auto"/>
              <w:left w:val="single" w:sz="12" w:space="0" w:color="auto"/>
              <w:bottom w:val="single" w:sz="4"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Compatível com os microcomputadores a serem fornecidos, inclusive quanto à cor predominante.</w:t>
            </w:r>
          </w:p>
        </w:tc>
        <w:tc>
          <w:tcPr>
            <w:tcW w:w="992" w:type="dxa"/>
            <w:tcBorders>
              <w:top w:val="single" w:sz="12" w:space="0" w:color="auto"/>
              <w:left w:val="single" w:sz="12" w:space="0" w:color="auto"/>
              <w:bottom w:val="single" w:sz="4"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4"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4"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1.11.2</w:t>
            </w:r>
          </w:p>
        </w:tc>
        <w:tc>
          <w:tcPr>
            <w:tcW w:w="4252" w:type="dxa"/>
            <w:tcBorders>
              <w:top w:val="single" w:sz="4" w:space="0" w:color="auto"/>
              <w:left w:val="single" w:sz="4" w:space="0" w:color="auto"/>
              <w:bottom w:val="single" w:sz="4" w:space="0" w:color="auto"/>
              <w:right w:val="single" w:sz="4"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Monitor de vídeo policromático LED, cuja diagonal da área de útil (excluindo as molduras) seja de, no mínimo, 584,2 mm (23”);</w:t>
            </w:r>
          </w:p>
        </w:tc>
        <w:tc>
          <w:tcPr>
            <w:tcW w:w="992" w:type="dxa"/>
            <w:tcBorders>
              <w:top w:val="single" w:sz="4" w:space="0" w:color="auto"/>
              <w:left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1.11.3</w:t>
            </w:r>
          </w:p>
        </w:tc>
        <w:tc>
          <w:tcPr>
            <w:tcW w:w="4252" w:type="dxa"/>
            <w:tcBorders>
              <w:top w:val="single" w:sz="4" w:space="0" w:color="auto"/>
              <w:left w:val="single" w:sz="4" w:space="0" w:color="auto"/>
              <w:bottom w:val="single" w:sz="4" w:space="0" w:color="auto"/>
              <w:right w:val="single" w:sz="4"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Taxa de contraste típica de, no mínimo, 1000:1;</w:t>
            </w:r>
          </w:p>
        </w:tc>
        <w:tc>
          <w:tcPr>
            <w:tcW w:w="992" w:type="dxa"/>
            <w:tcBorders>
              <w:left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1.11.4</w:t>
            </w:r>
          </w:p>
        </w:tc>
        <w:tc>
          <w:tcPr>
            <w:tcW w:w="4252" w:type="dxa"/>
            <w:tcBorders>
              <w:top w:val="single" w:sz="4" w:space="0" w:color="auto"/>
              <w:left w:val="single" w:sz="4" w:space="0" w:color="auto"/>
              <w:bottom w:val="single" w:sz="4" w:space="0" w:color="auto"/>
              <w:right w:val="single" w:sz="4"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Luminosidade típica de, no mínimo, 250 </w:t>
            </w:r>
            <w:proofErr w:type="spellStart"/>
            <w:r w:rsidRPr="00030364">
              <w:rPr>
                <w:rFonts w:ascii="Arial" w:eastAsia="Arial" w:hAnsi="Arial" w:cs="Arial"/>
                <w:sz w:val="20"/>
                <w:szCs w:val="24"/>
                <w:lang w:eastAsia="pt-BR"/>
              </w:rPr>
              <w:t>cd</w:t>
            </w:r>
            <w:proofErr w:type="spellEnd"/>
            <w:r w:rsidRPr="00030364">
              <w:rPr>
                <w:rFonts w:ascii="Arial" w:eastAsia="Arial" w:hAnsi="Arial" w:cs="Arial"/>
                <w:sz w:val="20"/>
                <w:szCs w:val="24"/>
                <w:lang w:eastAsia="pt-BR"/>
              </w:rPr>
              <w:t>/m²;</w:t>
            </w:r>
          </w:p>
        </w:tc>
        <w:tc>
          <w:tcPr>
            <w:tcW w:w="992" w:type="dxa"/>
            <w:tcBorders>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4" w:space="0" w:color="auto"/>
              <w:left w:val="single" w:sz="4" w:space="0" w:color="auto"/>
              <w:bottom w:val="single" w:sz="4" w:space="0" w:color="auto"/>
              <w:right w:val="single" w:sz="4"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4"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1.11.5</w:t>
            </w:r>
          </w:p>
        </w:tc>
        <w:tc>
          <w:tcPr>
            <w:tcW w:w="4252" w:type="dxa"/>
            <w:tcBorders>
              <w:top w:val="single" w:sz="4"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Ângulos de visão mínimos de 160° na horizontal e na vertical, para uma taxa de contraste de 10:1;</w:t>
            </w:r>
          </w:p>
        </w:tc>
        <w:tc>
          <w:tcPr>
            <w:tcW w:w="992" w:type="dxa"/>
            <w:tcBorders>
              <w:top w:val="single" w:sz="4"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4"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4"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lastRenderedPageBreak/>
              <w:t>1.11.6</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Resolução predefinida máxima, não entrelaçada, de, no mínimo, 2.073.600 (dois milhões, setenta e três mil e seiscentos) pixels;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1.11.7</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Tempo de resposta de até 8ms;</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1.11.8</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Inclinação regulável;</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1.11.9</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Altura regulável;</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1.11.10</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Ajuste de rotação, permitindo que o monitor possa ser utilizado na posição vertical ou horizontal (retrato ou paisagem);</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1.11.11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Quatro portas </w:t>
            </w:r>
            <w:proofErr w:type="spellStart"/>
            <w:r w:rsidRPr="00030364">
              <w:rPr>
                <w:rFonts w:ascii="Arial" w:eastAsia="Arial" w:hAnsi="Arial" w:cs="Arial"/>
                <w:sz w:val="20"/>
                <w:szCs w:val="24"/>
                <w:lang w:eastAsia="pt-BR"/>
              </w:rPr>
              <w:t>USB´s</w:t>
            </w:r>
            <w:proofErr w:type="spellEnd"/>
            <w:r w:rsidRPr="00030364">
              <w:rPr>
                <w:rFonts w:ascii="Arial" w:eastAsia="Arial" w:hAnsi="Arial" w:cs="Arial"/>
                <w:sz w:val="20"/>
                <w:szCs w:val="24"/>
                <w:lang w:eastAsia="pt-BR"/>
              </w:rPr>
              <w:t>, sendo que duas devem ter fácil acesso lateral ou na parte inferior do monitor;</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1.11.11.1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Caso as portas USB fiquem na parte traseira, a base do monitor deve possuir o recurso de giro horizontal sobre a própria base (</w:t>
            </w:r>
            <w:proofErr w:type="spellStart"/>
            <w:r w:rsidRPr="00030364">
              <w:rPr>
                <w:rFonts w:ascii="Arial" w:eastAsia="Arial" w:hAnsi="Arial" w:cs="Arial"/>
                <w:sz w:val="20"/>
                <w:szCs w:val="24"/>
                <w:lang w:eastAsia="pt-BR"/>
              </w:rPr>
              <w:t>Swivel</w:t>
            </w:r>
            <w:proofErr w:type="spellEnd"/>
            <w:r w:rsidRPr="00030364">
              <w:rPr>
                <w:rFonts w:ascii="Arial" w:eastAsia="Arial" w:hAnsi="Arial" w:cs="Arial"/>
                <w:sz w:val="20"/>
                <w:szCs w:val="24"/>
                <w:lang w:eastAsia="pt-BR"/>
              </w:rPr>
              <w:t>) de 45 graus para cada lado. Caso a base não tenha o giro horizontal, será aceito o monitor que efetue o mesmo movimento de giro em outra parte de sua base ou no próprio monitor.</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1.11.12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O computador deverá funcionar acoplado no monitor ou no seu suporte.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1.11.13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O computador acoplado no monitor ou no suporte do monitor não poderá prejudicar os ajustes de inclinação, altura ou rotação do monitor.</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Gabinete</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Deverão ser compatíveis entre si, de fácil instalação e em pleno funcionamento todos os componentes listados, inclusive o cadeado, se for o caso;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Todos os componentes externos, integrantes dos microcomputadores ofertados (gabinete, mouse, teclado e monitor), deverão ter a mesma cor predominante;</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O gabinete do computador deverá ter no máximo 1,2 litros de dimensão;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Acabamento interno com superfícies não cortantes;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1.12.5</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O gabinete deverá possuir, obrigatoriamente, mecanismo de abertura que facilite sua manutenção, podendo ser aberto e fechado sem uso de ferramentas;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1.12.6</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Gabinete com projeto do próprio fabricante do equipamento;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1.12.7</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 entrada de ar deve se dar pela frente, e a saída de ar somente pela traseira do equipamento, permitindo uso tanto na vertical quanto na horizontal;</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1.12.8</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Permitir instalação ou remoção do dispositivo de armazenamento de dados sem uso de ferramentas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1.12.8.1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Será aceitável uso de ferramenta apenas para instalação de SSD com conexão M2.</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lastRenderedPageBreak/>
              <w:t>1.12.9</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Dispositivo de segurança contra a abertura não autorizada do gabinete composto de chave com segredo (cadeado ou similar), cujo fornecimento e instalação, caso necessário, será obrigatório;</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1.12.10</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As chaves dos gabinetes terão todas o mesmo segredo;</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1.12.11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 quantidade de chaves deve ser de, no mínimo, 4% da quantidade de microcomputadores fornecidos, não podendo ser inferior a duas;</w:t>
            </w:r>
          </w:p>
        </w:tc>
        <w:tc>
          <w:tcPr>
            <w:tcW w:w="992"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1.12.12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Não serão admitidas quaisquer adaptações no gabinete destinadas a implementar os sistemas de abertura/fechamento rápido e de segurança;</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1.12.13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Admite-se também o uso de travas eletrônicas através de solenoides ativadas pela BIOS ou remotamente.</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1.12.14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O computador deverá ser entregue para uso acoplado atrás do monitor ou no suporte do monitor. Todos os itens necessários para o acoplamento devem ser entregues juntamente com o computador e monitor.</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1.12.15</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O número de série do computador deverá ficar visível, mesmo que este esteja acoplado ao monitor ou ao suporte do monitor.</w:t>
            </w:r>
          </w:p>
        </w:tc>
        <w:tc>
          <w:tcPr>
            <w:tcW w:w="992"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Licenças, sustentabilidade e outros requisitos</w:t>
            </w: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Deverão ser fornecidas as seguintes licenças de uso de software para cada microcomputador: Sistema Operacional Microsoft Windows 11 </w:t>
            </w:r>
            <w:proofErr w:type="gramStart"/>
            <w:r w:rsidRPr="00030364">
              <w:rPr>
                <w:rFonts w:ascii="Arial" w:eastAsia="Arial" w:hAnsi="Arial" w:cs="Arial"/>
                <w:sz w:val="20"/>
                <w:szCs w:val="24"/>
                <w:lang w:eastAsia="pt-BR"/>
              </w:rPr>
              <w:t>Pro em</w:t>
            </w:r>
            <w:proofErr w:type="gramEnd"/>
            <w:r w:rsidRPr="00030364">
              <w:rPr>
                <w:rFonts w:ascii="Arial" w:eastAsia="Arial" w:hAnsi="Arial" w:cs="Arial"/>
                <w:sz w:val="20"/>
                <w:szCs w:val="24"/>
                <w:lang w:eastAsia="pt-BR"/>
              </w:rPr>
              <w:t xml:space="preserve"> sua versão para uso no Governo, com direito de </w:t>
            </w:r>
            <w:proofErr w:type="spellStart"/>
            <w:r w:rsidRPr="00030364">
              <w:rPr>
                <w:rFonts w:ascii="Arial" w:eastAsia="Arial" w:hAnsi="Arial" w:cs="Arial"/>
                <w:sz w:val="20"/>
                <w:szCs w:val="24"/>
                <w:lang w:eastAsia="pt-BR"/>
              </w:rPr>
              <w:t>Downgrade</w:t>
            </w:r>
            <w:proofErr w:type="spellEnd"/>
            <w:r w:rsidRPr="00030364">
              <w:rPr>
                <w:rFonts w:ascii="Arial" w:eastAsia="Arial" w:hAnsi="Arial" w:cs="Arial"/>
                <w:sz w:val="20"/>
                <w:szCs w:val="24"/>
                <w:lang w:eastAsia="pt-BR"/>
              </w:rPr>
              <w:t xml:space="preserve"> para Windows 10 Professional; ou Sistema Operacional Microsoft Windows 10 Professional em sua versão para uso no Governo, com direito de Upgrade para Windows 11 Pro.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1.13.2</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As licenças deverão ser ativadas automaticamente com recursos de hardware/software do equipamento ofertado; </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1.13.2.1</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Arial" w:hAnsi="Arial" w:cs="Arial"/>
                <w:sz w:val="20"/>
                <w:szCs w:val="24"/>
                <w:lang w:eastAsia="pt-BR"/>
              </w:rPr>
            </w:pPr>
            <w:r w:rsidRPr="00030364">
              <w:rPr>
                <w:rFonts w:ascii="Arial" w:eastAsia="Arial" w:hAnsi="Arial" w:cs="Arial"/>
                <w:sz w:val="20"/>
                <w:szCs w:val="24"/>
                <w:lang w:eastAsia="pt-BR"/>
              </w:rPr>
              <w:t>Será aceita chave de instalação (KEY) presente na BIOS do equipamento, com mídia digital de recuperação (ou disponibilizar recurso que possibilite seu download) ou oferecer a opção de restauração através de partição na unidade de armazenamento de massa do equipamento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1.13.3</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Será de responsabilidade da Contratada a entrega de todos os acionadores de dispositivos de hardware instalados e todo o software cuja licença está incluída no pacote do equipamento para os sistemas operacionais Windows, aceitando-se a indicação de endereço para cópia eletrônica </w:t>
            </w:r>
            <w:r w:rsidRPr="00030364">
              <w:rPr>
                <w:rFonts w:ascii="Arial" w:eastAsia="Arial" w:hAnsi="Arial" w:cs="Arial"/>
                <w:sz w:val="20"/>
                <w:szCs w:val="24"/>
                <w:lang w:eastAsia="pt-BR"/>
              </w:rPr>
              <w:lastRenderedPageBreak/>
              <w:t>em linha da Internet de fabricante ou distribuidor autorizado, incluídas quaisquer credenciais necessárias à cópia; não será necessária a entrega dos acionadores de dispositivos que já estejam incluídos no pacote dos referidos sistemas operacionais;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1.13.4</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Comprovação de baixo nível de ruído conforme NBR 10152:2017 ou ISO 7779 ou similar. O equipamento deverá possuir certificação de compatibilidade com a norma IEC 60950 ou similar emitida por instituição acreditada pelo INMETRO. O equipamento deverá apresentar compatibilidade eletromagnética e de radiofrequência IEC 61000 comprovado através de certificado ou relatório de avaliação de conformidade emitido por órgão credenciado pelo INMETRO; </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1.13.5</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Nenhum dos equipamentos fornecidos poderá conter substâncias perigosas como mercúrio (Hg), chumbo (</w:t>
            </w:r>
            <w:proofErr w:type="spellStart"/>
            <w:r w:rsidRPr="00030364">
              <w:rPr>
                <w:rFonts w:ascii="Arial" w:eastAsia="Arial" w:hAnsi="Arial" w:cs="Arial"/>
                <w:sz w:val="20"/>
                <w:szCs w:val="24"/>
                <w:lang w:eastAsia="pt-BR"/>
              </w:rPr>
              <w:t>Pb</w:t>
            </w:r>
            <w:proofErr w:type="spellEnd"/>
            <w:r w:rsidRPr="00030364">
              <w:rPr>
                <w:rFonts w:ascii="Arial" w:eastAsia="Arial" w:hAnsi="Arial" w:cs="Arial"/>
                <w:sz w:val="20"/>
                <w:szCs w:val="24"/>
                <w:lang w:eastAsia="pt-BR"/>
              </w:rPr>
              <w:t xml:space="preserve">), cromo </w:t>
            </w:r>
            <w:proofErr w:type="spellStart"/>
            <w:r w:rsidRPr="00030364">
              <w:rPr>
                <w:rFonts w:ascii="Arial" w:eastAsia="Arial" w:hAnsi="Arial" w:cs="Arial"/>
                <w:sz w:val="20"/>
                <w:szCs w:val="24"/>
                <w:lang w:eastAsia="pt-BR"/>
              </w:rPr>
              <w:t>hexavalente</w:t>
            </w:r>
            <w:proofErr w:type="spellEnd"/>
            <w:r w:rsidRPr="00030364">
              <w:rPr>
                <w:rFonts w:ascii="Arial" w:eastAsia="Arial" w:hAnsi="Arial" w:cs="Arial"/>
                <w:sz w:val="20"/>
                <w:szCs w:val="24"/>
                <w:lang w:eastAsia="pt-BR"/>
              </w:rPr>
              <w:t xml:space="preserve"> (Cr(VI)), cádmio (</w:t>
            </w:r>
            <w:proofErr w:type="spellStart"/>
            <w:r w:rsidRPr="00030364">
              <w:rPr>
                <w:rFonts w:ascii="Arial" w:eastAsia="Arial" w:hAnsi="Arial" w:cs="Arial"/>
                <w:sz w:val="20"/>
                <w:szCs w:val="24"/>
                <w:lang w:eastAsia="pt-BR"/>
              </w:rPr>
              <w:t>Cd</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bifenil</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polibromados</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PBBs</w:t>
            </w:r>
            <w:proofErr w:type="spellEnd"/>
            <w:r w:rsidRPr="00030364">
              <w:rPr>
                <w:rFonts w:ascii="Arial" w:eastAsia="Arial" w:hAnsi="Arial" w:cs="Arial"/>
                <w:sz w:val="20"/>
                <w:szCs w:val="24"/>
                <w:lang w:eastAsia="pt-BR"/>
              </w:rPr>
              <w:t xml:space="preserve">), éteres </w:t>
            </w:r>
            <w:proofErr w:type="spellStart"/>
            <w:r w:rsidRPr="00030364">
              <w:rPr>
                <w:rFonts w:ascii="Arial" w:eastAsia="Arial" w:hAnsi="Arial" w:cs="Arial"/>
                <w:sz w:val="20"/>
                <w:szCs w:val="24"/>
                <w:lang w:eastAsia="pt-BR"/>
              </w:rPr>
              <w:t>difenil-polibromados</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PBDEs</w:t>
            </w:r>
            <w:proofErr w:type="spellEnd"/>
            <w:r w:rsidRPr="00030364">
              <w:rPr>
                <w:rFonts w:ascii="Arial" w:eastAsia="Arial" w:hAnsi="Arial" w:cs="Arial"/>
                <w:sz w:val="20"/>
                <w:szCs w:val="24"/>
                <w:lang w:eastAsia="pt-BR"/>
              </w:rPr>
              <w:t xml:space="preserve">) em concentração acima da recomendada na diretiva </w:t>
            </w:r>
            <w:proofErr w:type="spellStart"/>
            <w:r w:rsidRPr="00030364">
              <w:rPr>
                <w:rFonts w:ascii="Arial" w:eastAsia="Arial" w:hAnsi="Arial" w:cs="Arial"/>
                <w:sz w:val="20"/>
                <w:szCs w:val="24"/>
                <w:lang w:eastAsia="pt-BR"/>
              </w:rPr>
              <w:t>RoHS</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Restriction</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of</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Certain</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Hazardous</w:t>
            </w:r>
            <w:proofErr w:type="spellEnd"/>
            <w:r w:rsidRPr="00030364">
              <w:rPr>
                <w:rFonts w:ascii="Arial" w:eastAsia="Arial" w:hAnsi="Arial" w:cs="Arial"/>
                <w:sz w:val="20"/>
                <w:szCs w:val="24"/>
                <w:lang w:eastAsia="pt-BR"/>
              </w:rPr>
              <w:t xml:space="preserve"> </w:t>
            </w:r>
            <w:proofErr w:type="spellStart"/>
            <w:r w:rsidRPr="00030364">
              <w:rPr>
                <w:rFonts w:ascii="Arial" w:eastAsia="Arial" w:hAnsi="Arial" w:cs="Arial"/>
                <w:sz w:val="20"/>
                <w:szCs w:val="24"/>
                <w:lang w:eastAsia="pt-BR"/>
              </w:rPr>
              <w:t>Substances</w:t>
            </w:r>
            <w:proofErr w:type="spellEnd"/>
            <w:r w:rsidRPr="00030364">
              <w:rPr>
                <w:rFonts w:ascii="Arial" w:eastAsia="Arial" w:hAnsi="Arial" w:cs="Arial"/>
                <w:sz w:val="20"/>
                <w:szCs w:val="24"/>
                <w:lang w:eastAsia="pt-BR"/>
              </w:rPr>
              <w:t xml:space="preserve">), sendo que para efeitos de avaliação das amostras e aceitação do produto deverá ser fornecida certificação emitida por instituição pública oficial ou instituição credenciada, ou por qualquer outro meio de prova que ateste que o equipamento ofertado atende essa exigência; </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1.13.6</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Arial" w:hAnsi="Arial" w:cs="Arial"/>
                <w:sz w:val="20"/>
                <w:szCs w:val="24"/>
                <w:lang w:eastAsia="pt-BR"/>
              </w:rPr>
            </w:pPr>
            <w:r w:rsidRPr="00030364">
              <w:rPr>
                <w:rFonts w:ascii="Arial" w:eastAsia="Arial" w:hAnsi="Arial" w:cs="Arial"/>
                <w:sz w:val="20"/>
                <w:szCs w:val="24"/>
                <w:lang w:eastAsia="pt-BR"/>
              </w:rPr>
              <w:t>O equipamento deverá, comprovadamente, pertencer à linha corporativa, não sendo aceitos equipamentos destinados ao uso doméstico;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1.13.7</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As unidades do equipamento deverão ser entregues devidamente acondicionadas em embalagens individuais adequadas, que utilizem preferencialmente materiais recicláveis, de forma a garantir a máxima proteção durante o transporte e a armazenagem;</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trHeight w:val="922"/>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1.13.8</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contextualSpacing/>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Todos os dispositivos de hardware, além de seus drivers deverão ser compatíveis com o sistema operacional Windows;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trHeight w:val="1086"/>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1.13.9</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 xml:space="preserve">Compatibilidade com o padrão DMI 2.0 (Desktop Management Interface) ou mais recente da DMTF (Desktop Management </w:t>
            </w:r>
            <w:proofErr w:type="spellStart"/>
            <w:r w:rsidRPr="00030364">
              <w:rPr>
                <w:rFonts w:ascii="Arial" w:eastAsia="Arial" w:hAnsi="Arial" w:cs="Arial"/>
                <w:sz w:val="20"/>
                <w:szCs w:val="24"/>
                <w:lang w:eastAsia="pt-BR"/>
              </w:rPr>
              <w:t>Task</w:t>
            </w:r>
            <w:proofErr w:type="spellEnd"/>
            <w:r w:rsidRPr="00030364">
              <w:rPr>
                <w:rFonts w:ascii="Arial" w:eastAsia="Arial" w:hAnsi="Arial" w:cs="Arial"/>
                <w:sz w:val="20"/>
                <w:szCs w:val="24"/>
                <w:lang w:eastAsia="pt-BR"/>
              </w:rPr>
              <w:t xml:space="preserve"> Force), comprovado por meio de documentação expedida pelo fabricante do equipamento;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trHeight w:val="214"/>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lastRenderedPageBreak/>
              <w:t>1.13.10</w:t>
            </w:r>
          </w:p>
        </w:tc>
        <w:tc>
          <w:tcPr>
            <w:tcW w:w="4252" w:type="dxa"/>
            <w:tcBorders>
              <w:top w:val="single" w:sz="12" w:space="0" w:color="auto"/>
              <w:left w:val="single" w:sz="12" w:space="0" w:color="auto"/>
              <w:bottom w:val="single" w:sz="12" w:space="0" w:color="auto"/>
              <w:right w:val="single" w:sz="12" w:space="0" w:color="auto"/>
            </w:tcBorders>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Arial" w:hAnsi="Arial" w:cs="Arial"/>
                <w:sz w:val="20"/>
                <w:szCs w:val="24"/>
                <w:lang w:eastAsia="pt-BR"/>
              </w:rPr>
              <w:t>Todos os equipamentos a serem entregues deverão ser idênticos, ou seja, todos os componentes externos e internos de mesmos modelos e marcas dos utilizados nos equipamentos enviados para avaliação e/ou homologação. Caso o componente não mais se encontre disponível no mercado, admitem-se substitutos com qualidade e características idênticas ou superiores, mediante nova homologação. Todos os cabos e conectores necessários ao funcionamento dos equipamentos deverão ser fornecidos.</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trHeight w:val="833"/>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1.13.11</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O fabricante de computador deverá comprovar a adoção da logística reversa de eletrônicos prevista na Lei 12.305, de 2010. Há duas formas de se realizar a comprovação:</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trHeight w:val="1218"/>
          <w:jc w:val="center"/>
        </w:trPr>
        <w:tc>
          <w:tcPr>
            <w:tcW w:w="1545"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proofErr w:type="gramStart"/>
            <w:r w:rsidRPr="00030364">
              <w:rPr>
                <w:rFonts w:ascii="Arial" w:eastAsia="Times New Roman" w:hAnsi="Arial" w:cs="Arial"/>
                <w:color w:val="000000"/>
                <w:sz w:val="20"/>
                <w:szCs w:val="20"/>
                <w:lang w:eastAsia="pt-BR"/>
              </w:rPr>
              <w:t>a</w:t>
            </w:r>
            <w:proofErr w:type="gramEnd"/>
            <w:r w:rsidRPr="00030364">
              <w:rPr>
                <w:rFonts w:ascii="Arial" w:eastAsia="Times New Roman" w:hAnsi="Arial" w:cs="Arial"/>
                <w:color w:val="000000"/>
                <w:sz w:val="20"/>
                <w:szCs w:val="20"/>
                <w:lang w:eastAsia="pt-BR"/>
              </w:rPr>
              <w:t>)</w:t>
            </w:r>
          </w:p>
        </w:tc>
        <w:tc>
          <w:tcPr>
            <w:tcW w:w="425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 xml:space="preserve">O fabricante de computador deverá fazer parte da Green </w:t>
            </w:r>
            <w:proofErr w:type="spellStart"/>
            <w:r w:rsidRPr="00030364">
              <w:rPr>
                <w:rFonts w:ascii="Arial" w:eastAsia="Times New Roman" w:hAnsi="Arial" w:cs="Arial"/>
                <w:color w:val="000000"/>
                <w:sz w:val="20"/>
                <w:szCs w:val="20"/>
                <w:lang w:eastAsia="pt-BR"/>
              </w:rPr>
              <w:t>Eletron</w:t>
            </w:r>
            <w:proofErr w:type="spellEnd"/>
            <w:r w:rsidRPr="00030364">
              <w:rPr>
                <w:rFonts w:ascii="Arial" w:eastAsia="Times New Roman" w:hAnsi="Arial" w:cs="Arial"/>
                <w:color w:val="000000"/>
                <w:sz w:val="20"/>
                <w:szCs w:val="20"/>
                <w:lang w:eastAsia="pt-BR"/>
              </w:rPr>
              <w:t xml:space="preserve">, entidade gestora para logística reversa de produtos eletroeletrônicos, idealizada pela Abinee.  </w:t>
            </w:r>
            <w:hyperlink r:id="rId6">
              <w:r w:rsidRPr="00030364">
                <w:rPr>
                  <w:rFonts w:ascii="Arial" w:eastAsia="Times New Roman" w:hAnsi="Arial" w:cs="Arial"/>
                  <w:color w:val="0000FF"/>
                  <w:sz w:val="20"/>
                  <w:szCs w:val="20"/>
                  <w:u w:val="single"/>
                  <w:lang w:eastAsia="pt-BR"/>
                </w:rPr>
                <w:t>https://www.greeneletron.org.br/</w:t>
              </w:r>
            </w:hyperlink>
            <w:r w:rsidRPr="00030364">
              <w:rPr>
                <w:rFonts w:ascii="Arial" w:eastAsia="Times New Roman" w:hAnsi="Arial" w:cs="Arial"/>
                <w:color w:val="000000"/>
                <w:sz w:val="20"/>
                <w:szCs w:val="20"/>
                <w:lang w:eastAsia="pt-BR"/>
              </w:rPr>
              <w:t>;</w:t>
            </w:r>
          </w:p>
        </w:tc>
        <w:tc>
          <w:tcPr>
            <w:tcW w:w="992"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r w:rsidR="00030364" w:rsidRPr="00030364" w:rsidTr="00E84AED">
        <w:trPr>
          <w:trHeight w:val="238"/>
          <w:jc w:val="center"/>
        </w:trPr>
        <w:tc>
          <w:tcPr>
            <w:tcW w:w="8911" w:type="dxa"/>
            <w:gridSpan w:val="5"/>
            <w:tcBorders>
              <w:top w:val="single" w:sz="12" w:space="0" w:color="auto"/>
              <w:left w:val="single" w:sz="12" w:space="0" w:color="auto"/>
              <w:bottom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b/>
                <w:sz w:val="20"/>
                <w:szCs w:val="20"/>
                <w:lang w:eastAsia="pt-BR"/>
              </w:rPr>
            </w:pPr>
            <w:r w:rsidRPr="00030364">
              <w:rPr>
                <w:rFonts w:ascii="Arial" w:eastAsia="Times New Roman" w:hAnsi="Arial" w:cs="Arial"/>
                <w:b/>
                <w:sz w:val="20"/>
                <w:szCs w:val="20"/>
                <w:lang w:eastAsia="pt-BR"/>
              </w:rPr>
              <w:t>OU</w:t>
            </w:r>
          </w:p>
        </w:tc>
      </w:tr>
      <w:tr w:rsidR="00030364" w:rsidRPr="00030364" w:rsidTr="00E84AED">
        <w:trPr>
          <w:trHeight w:val="1348"/>
          <w:jc w:val="center"/>
        </w:trPr>
        <w:tc>
          <w:tcPr>
            <w:tcW w:w="1545"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b)</w:t>
            </w:r>
          </w:p>
          <w:p w:rsidR="00030364" w:rsidRPr="00030364" w:rsidRDefault="00030364" w:rsidP="00030364">
            <w:pPr>
              <w:spacing w:after="0" w:line="240" w:lineRule="auto"/>
              <w:jc w:val="center"/>
              <w:rPr>
                <w:rFonts w:ascii="Arial" w:eastAsia="Times New Roman" w:hAnsi="Arial" w:cs="Arial"/>
                <w:color w:val="000000"/>
                <w:sz w:val="20"/>
                <w:szCs w:val="20"/>
                <w:lang w:eastAsia="pt-BR"/>
              </w:rPr>
            </w:pPr>
          </w:p>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b.1)</w:t>
            </w:r>
          </w:p>
          <w:p w:rsidR="00030364" w:rsidRPr="00030364" w:rsidRDefault="00030364" w:rsidP="00030364">
            <w:pPr>
              <w:spacing w:after="0" w:line="240" w:lineRule="auto"/>
              <w:jc w:val="center"/>
              <w:rPr>
                <w:rFonts w:ascii="Arial" w:eastAsia="Times New Roman" w:hAnsi="Arial" w:cs="Arial"/>
                <w:color w:val="000000"/>
                <w:sz w:val="20"/>
                <w:szCs w:val="20"/>
                <w:lang w:eastAsia="pt-BR"/>
              </w:rPr>
            </w:pPr>
          </w:p>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b.2)</w:t>
            </w:r>
          </w:p>
          <w:p w:rsidR="00030364" w:rsidRPr="00030364" w:rsidRDefault="00030364" w:rsidP="00030364">
            <w:pPr>
              <w:spacing w:after="0" w:line="240" w:lineRule="auto"/>
              <w:jc w:val="center"/>
              <w:rPr>
                <w:rFonts w:ascii="Arial" w:eastAsia="Times New Roman" w:hAnsi="Arial" w:cs="Arial"/>
                <w:color w:val="000000"/>
                <w:sz w:val="20"/>
                <w:szCs w:val="20"/>
                <w:lang w:eastAsia="pt-BR"/>
              </w:rPr>
            </w:pPr>
          </w:p>
          <w:p w:rsidR="00030364" w:rsidRPr="00030364" w:rsidRDefault="00030364" w:rsidP="00030364">
            <w:pPr>
              <w:spacing w:after="0" w:line="240" w:lineRule="auto"/>
              <w:jc w:val="center"/>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 xml:space="preserve">b.3) </w:t>
            </w:r>
          </w:p>
        </w:tc>
        <w:tc>
          <w:tcPr>
            <w:tcW w:w="425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both"/>
              <w:rPr>
                <w:rFonts w:ascii="Arial" w:eastAsia="Times New Roman" w:hAnsi="Arial" w:cs="Arial"/>
                <w:color w:val="000000"/>
                <w:sz w:val="20"/>
                <w:szCs w:val="20"/>
                <w:lang w:eastAsia="pt-BR"/>
              </w:rPr>
            </w:pPr>
            <w:r w:rsidRPr="00030364">
              <w:rPr>
                <w:rFonts w:ascii="Arial" w:eastAsia="Times New Roman" w:hAnsi="Arial" w:cs="Arial"/>
                <w:color w:val="000000"/>
                <w:sz w:val="20"/>
                <w:szCs w:val="20"/>
                <w:lang w:eastAsia="pt-BR"/>
              </w:rPr>
              <w:t>Demonstrar o ciclo de logística reversa informando:</w:t>
            </w:r>
          </w:p>
          <w:p w:rsidR="00030364" w:rsidRPr="00030364" w:rsidRDefault="00030364" w:rsidP="00030364">
            <w:pPr>
              <w:tabs>
                <w:tab w:val="left" w:pos="317"/>
              </w:tabs>
              <w:spacing w:before="60" w:after="60" w:line="240" w:lineRule="auto"/>
              <w:jc w:val="both"/>
              <w:rPr>
                <w:rFonts w:ascii="Arial" w:eastAsia="Times New Roman" w:hAnsi="Arial" w:cs="Arial"/>
                <w:color w:val="000000"/>
                <w:sz w:val="20"/>
                <w:szCs w:val="24"/>
                <w:lang w:eastAsia="pt-BR"/>
              </w:rPr>
            </w:pPr>
            <w:proofErr w:type="gramStart"/>
            <w:r w:rsidRPr="00030364">
              <w:rPr>
                <w:rFonts w:ascii="Arial" w:eastAsia="Times New Roman" w:hAnsi="Arial" w:cs="Arial"/>
                <w:color w:val="000000"/>
                <w:sz w:val="20"/>
                <w:szCs w:val="24"/>
                <w:lang w:eastAsia="pt-BR"/>
              </w:rPr>
              <w:t>contato</w:t>
            </w:r>
            <w:proofErr w:type="gramEnd"/>
            <w:r w:rsidRPr="00030364">
              <w:rPr>
                <w:rFonts w:ascii="Arial" w:eastAsia="Times New Roman" w:hAnsi="Arial" w:cs="Arial"/>
                <w:color w:val="000000"/>
                <w:sz w:val="20"/>
                <w:szCs w:val="24"/>
                <w:lang w:eastAsia="pt-BR"/>
              </w:rPr>
              <w:t>, telefone das entidades/empresas envolvidas no ciclo;</w:t>
            </w:r>
          </w:p>
          <w:p w:rsidR="00030364" w:rsidRPr="00030364" w:rsidRDefault="00030364" w:rsidP="00030364">
            <w:pPr>
              <w:spacing w:after="0" w:line="240" w:lineRule="auto"/>
              <w:contextualSpacing/>
              <w:jc w:val="both"/>
              <w:rPr>
                <w:rFonts w:ascii="Arial" w:eastAsia="Times New Roman" w:hAnsi="Arial" w:cs="Arial"/>
                <w:color w:val="000000"/>
                <w:sz w:val="20"/>
                <w:szCs w:val="20"/>
                <w:lang w:eastAsia="pt-BR"/>
              </w:rPr>
            </w:pPr>
            <w:proofErr w:type="gramStart"/>
            <w:r w:rsidRPr="00030364">
              <w:rPr>
                <w:rFonts w:ascii="Arial" w:eastAsia="Times New Roman" w:hAnsi="Arial" w:cs="Arial"/>
                <w:color w:val="000000"/>
                <w:sz w:val="20"/>
                <w:szCs w:val="20"/>
                <w:lang w:eastAsia="pt-BR"/>
              </w:rPr>
              <w:t>contratos</w:t>
            </w:r>
            <w:proofErr w:type="gramEnd"/>
            <w:r w:rsidRPr="00030364">
              <w:rPr>
                <w:rFonts w:ascii="Arial" w:eastAsia="Times New Roman" w:hAnsi="Arial" w:cs="Arial"/>
                <w:color w:val="000000"/>
                <w:sz w:val="20"/>
                <w:szCs w:val="20"/>
                <w:lang w:eastAsia="pt-BR"/>
              </w:rPr>
              <w:t>, recibos ou certificados dos serviços de recebimento dos materiais que serão reciclados;</w:t>
            </w:r>
          </w:p>
          <w:p w:rsidR="00030364" w:rsidRPr="00030364" w:rsidRDefault="00030364" w:rsidP="00030364">
            <w:pPr>
              <w:spacing w:after="0" w:line="240" w:lineRule="auto"/>
              <w:contextualSpacing/>
              <w:jc w:val="both"/>
              <w:rPr>
                <w:rFonts w:ascii="Arial" w:eastAsia="Times New Roman" w:hAnsi="Arial" w:cs="Arial"/>
                <w:color w:val="000000"/>
                <w:sz w:val="20"/>
                <w:szCs w:val="20"/>
                <w:lang w:eastAsia="pt-BR"/>
              </w:rPr>
            </w:pPr>
            <w:proofErr w:type="gramStart"/>
            <w:r w:rsidRPr="00030364">
              <w:rPr>
                <w:rFonts w:ascii="Arial" w:eastAsia="Times New Roman" w:hAnsi="Arial" w:cs="Arial"/>
                <w:color w:val="000000"/>
                <w:sz w:val="20"/>
                <w:szCs w:val="20"/>
                <w:lang w:eastAsia="pt-BR"/>
              </w:rPr>
              <w:t>documentação</w:t>
            </w:r>
            <w:proofErr w:type="gramEnd"/>
            <w:r w:rsidRPr="00030364">
              <w:rPr>
                <w:rFonts w:ascii="Arial" w:eastAsia="Times New Roman" w:hAnsi="Arial" w:cs="Arial"/>
                <w:color w:val="000000"/>
                <w:sz w:val="20"/>
                <w:szCs w:val="20"/>
                <w:lang w:eastAsia="pt-BR"/>
              </w:rPr>
              <w:t xml:space="preserve"> da empresa de reciclagem que demonstre o retorno da matéria prima ao mercado.</w:t>
            </w:r>
          </w:p>
        </w:tc>
        <w:tc>
          <w:tcPr>
            <w:tcW w:w="992"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709"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c>
          <w:tcPr>
            <w:tcW w:w="1413" w:type="dxa"/>
            <w:tcBorders>
              <w:top w:val="single" w:sz="12" w:space="0" w:color="auto"/>
              <w:left w:val="single" w:sz="12" w:space="0" w:color="auto"/>
              <w:right w:val="single" w:sz="12" w:space="0" w:color="auto"/>
            </w:tcBorders>
            <w:vAlign w:val="center"/>
          </w:tcPr>
          <w:p w:rsidR="00030364" w:rsidRPr="00030364" w:rsidRDefault="00030364" w:rsidP="00030364">
            <w:pPr>
              <w:spacing w:after="0" w:line="240" w:lineRule="auto"/>
              <w:jc w:val="center"/>
              <w:rPr>
                <w:rFonts w:ascii="Arial" w:eastAsia="Times New Roman" w:hAnsi="Arial" w:cs="Arial"/>
                <w:sz w:val="20"/>
                <w:szCs w:val="20"/>
                <w:lang w:eastAsia="pt-BR"/>
              </w:rPr>
            </w:pPr>
          </w:p>
        </w:tc>
      </w:tr>
    </w:tbl>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i/>
          <w:sz w:val="32"/>
          <w:szCs w:val="20"/>
          <w:lang w:eastAsia="pt-BR"/>
        </w:rPr>
      </w:pPr>
      <w:r w:rsidRPr="00030364">
        <w:rPr>
          <w:rFonts w:ascii="Arial" w:eastAsia="Calibri" w:hAnsi="Arial" w:cs="Arial"/>
          <w:i/>
          <w:sz w:val="24"/>
          <w:szCs w:val="20"/>
        </w:rPr>
        <w:t>*Havendo divergência entre as especificações técnicas (Anexos n. 1 e 1-A) e a Tabela de Conformidade Técnica, prevalecerá o disposto nas especificações técnicas.</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030364" w:rsidRPr="00030364" w:rsidTr="00E84AE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030364" w:rsidRPr="00030364" w:rsidRDefault="00030364" w:rsidP="00030364">
            <w:pPr>
              <w:spacing w:after="0" w:line="240" w:lineRule="auto"/>
              <w:jc w:val="center"/>
              <w:rPr>
                <w:rFonts w:ascii="Arial" w:eastAsia="Times New Roman" w:hAnsi="Arial" w:cs="Arial"/>
                <w:b/>
                <w:bCs/>
                <w:sz w:val="20"/>
                <w:szCs w:val="20"/>
                <w:lang w:eastAsia="pt-BR"/>
              </w:rPr>
            </w:pPr>
            <w:r w:rsidRPr="00030364">
              <w:rPr>
                <w:rFonts w:ascii="Arial" w:eastAsia="Times New Roman" w:hAnsi="Arial" w:cs="Arial"/>
                <w:b/>
                <w:bCs/>
                <w:sz w:val="20"/>
                <w:szCs w:val="20"/>
                <w:lang w:eastAsia="pt-BR"/>
              </w:rPr>
              <w:lastRenderedPageBreak/>
              <w:t>DADOS PARA ASSINATURA DA ATA DE RP E DO CONTRATO</w:t>
            </w:r>
          </w:p>
        </w:tc>
      </w:tr>
      <w:tr w:rsidR="00030364" w:rsidRPr="00030364" w:rsidTr="00E84AED">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030364" w:rsidRPr="00030364" w:rsidRDefault="00030364" w:rsidP="00030364">
            <w:pPr>
              <w:tabs>
                <w:tab w:val="center" w:pos="4419"/>
                <w:tab w:val="right" w:pos="8838"/>
              </w:tabs>
              <w:autoSpaceDE w:val="0"/>
              <w:autoSpaceDN w:val="0"/>
              <w:spacing w:after="0" w:line="240" w:lineRule="auto"/>
              <w:rPr>
                <w:rFonts w:ascii="Arial" w:eastAsia="Times New Roman" w:hAnsi="Arial" w:cs="Arial"/>
                <w:sz w:val="20"/>
                <w:szCs w:val="20"/>
              </w:rPr>
            </w:pPr>
            <w:r w:rsidRPr="00030364">
              <w:rPr>
                <w:rFonts w:ascii="Arial" w:eastAsia="Times New Roman" w:hAnsi="Arial" w:cs="Arial"/>
                <w:sz w:val="20"/>
                <w:szCs w:val="20"/>
              </w:rPr>
              <w:t>Nome do signatário</w:t>
            </w:r>
          </w:p>
        </w:tc>
        <w:tc>
          <w:tcPr>
            <w:tcW w:w="5598" w:type="dxa"/>
            <w:tcBorders>
              <w:top w:val="nil"/>
              <w:left w:val="nil"/>
              <w:bottom w:val="single" w:sz="8" w:space="0" w:color="auto"/>
              <w:right w:val="single" w:sz="8" w:space="0" w:color="auto"/>
            </w:tcBorders>
            <w:vAlign w:val="center"/>
          </w:tcPr>
          <w:p w:rsidR="00030364" w:rsidRPr="00030364" w:rsidRDefault="00030364" w:rsidP="00030364">
            <w:pPr>
              <w:snapToGrid w:val="0"/>
              <w:spacing w:after="0" w:line="240" w:lineRule="auto"/>
              <w:jc w:val="center"/>
              <w:rPr>
                <w:rFonts w:ascii="Arial" w:eastAsia="Times New Roman" w:hAnsi="Arial" w:cs="Arial"/>
                <w:b/>
                <w:bCs/>
                <w:sz w:val="20"/>
                <w:szCs w:val="20"/>
                <w:lang w:eastAsia="pt-BR"/>
              </w:rPr>
            </w:pPr>
          </w:p>
        </w:tc>
      </w:tr>
      <w:tr w:rsidR="00030364" w:rsidRPr="00030364" w:rsidTr="00E84AED">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030364" w:rsidRPr="00030364" w:rsidRDefault="00030364" w:rsidP="00030364">
            <w:pPr>
              <w:autoSpaceDE w:val="0"/>
              <w:autoSpaceDN w:val="0"/>
              <w:spacing w:after="0" w:line="240" w:lineRule="auto"/>
              <w:rPr>
                <w:rFonts w:ascii="Arial" w:eastAsia="Times New Roman" w:hAnsi="Arial" w:cs="Arial"/>
                <w:sz w:val="20"/>
                <w:szCs w:val="20"/>
                <w:lang w:eastAsia="pt-BR"/>
              </w:rPr>
            </w:pPr>
            <w:r w:rsidRPr="00030364">
              <w:rPr>
                <w:rFonts w:ascii="Arial" w:eastAsia="Times New Roman" w:hAnsi="Arial" w:cs="Arial"/>
                <w:sz w:val="20"/>
                <w:szCs w:val="20"/>
                <w:lang w:eastAsia="pt-BR"/>
              </w:rPr>
              <w:t>Cargo</w:t>
            </w:r>
          </w:p>
        </w:tc>
        <w:tc>
          <w:tcPr>
            <w:tcW w:w="5598" w:type="dxa"/>
            <w:tcBorders>
              <w:top w:val="nil"/>
              <w:left w:val="nil"/>
              <w:bottom w:val="single" w:sz="8" w:space="0" w:color="auto"/>
              <w:right w:val="single" w:sz="8" w:space="0" w:color="auto"/>
            </w:tcBorders>
            <w:vAlign w:val="center"/>
          </w:tcPr>
          <w:p w:rsidR="00030364" w:rsidRPr="00030364" w:rsidRDefault="00030364" w:rsidP="00030364">
            <w:pPr>
              <w:snapToGrid w:val="0"/>
              <w:spacing w:after="0" w:line="240" w:lineRule="auto"/>
              <w:jc w:val="center"/>
              <w:rPr>
                <w:rFonts w:ascii="Arial" w:eastAsia="Times New Roman" w:hAnsi="Arial" w:cs="Arial"/>
                <w:b/>
                <w:bCs/>
                <w:sz w:val="20"/>
                <w:szCs w:val="20"/>
                <w:lang w:eastAsia="pt-BR"/>
              </w:rPr>
            </w:pPr>
          </w:p>
        </w:tc>
      </w:tr>
      <w:tr w:rsidR="00030364" w:rsidRPr="00030364" w:rsidTr="00E84AED">
        <w:trPr>
          <w:jc w:val="center"/>
        </w:trPr>
        <w:tc>
          <w:tcPr>
            <w:tcW w:w="3330" w:type="dxa"/>
            <w:tcBorders>
              <w:top w:val="nil"/>
              <w:left w:val="single" w:sz="8" w:space="0" w:color="auto"/>
              <w:bottom w:val="single" w:sz="8" w:space="0" w:color="auto"/>
              <w:right w:val="single" w:sz="8" w:space="0" w:color="auto"/>
            </w:tcBorders>
            <w:vAlign w:val="center"/>
            <w:hideMark/>
          </w:tcPr>
          <w:p w:rsidR="00030364" w:rsidRPr="00030364" w:rsidRDefault="00030364" w:rsidP="00030364">
            <w:pPr>
              <w:autoSpaceDE w:val="0"/>
              <w:autoSpaceDN w:val="0"/>
              <w:spacing w:after="0" w:line="240" w:lineRule="auto"/>
              <w:rPr>
                <w:rFonts w:ascii="Arial" w:eastAsia="Times New Roman" w:hAnsi="Arial" w:cs="Arial"/>
                <w:sz w:val="20"/>
                <w:szCs w:val="20"/>
                <w:lang w:eastAsia="pt-BR"/>
              </w:rPr>
            </w:pPr>
            <w:r w:rsidRPr="00030364">
              <w:rPr>
                <w:rFonts w:ascii="Arial" w:eastAsia="Times New Roman" w:hAnsi="Arial" w:cs="Arial"/>
                <w:sz w:val="20"/>
                <w:szCs w:val="20"/>
                <w:lang w:eastAsia="pt-BR"/>
              </w:rPr>
              <w:t xml:space="preserve">Qualificação </w:t>
            </w:r>
          </w:p>
          <w:p w:rsidR="00030364" w:rsidRPr="00030364" w:rsidRDefault="00030364" w:rsidP="00030364">
            <w:pPr>
              <w:autoSpaceDE w:val="0"/>
              <w:autoSpaceDN w:val="0"/>
              <w:spacing w:after="0" w:line="240" w:lineRule="auto"/>
              <w:rPr>
                <w:rFonts w:ascii="Arial" w:eastAsia="Times New Roman" w:hAnsi="Arial" w:cs="Arial"/>
                <w:sz w:val="20"/>
                <w:szCs w:val="20"/>
                <w:lang w:eastAsia="pt-BR"/>
              </w:rPr>
            </w:pPr>
            <w:r w:rsidRPr="00030364">
              <w:rPr>
                <w:rFonts w:ascii="Arial" w:eastAsia="Times New Roman" w:hAnsi="Arial" w:cs="Arial"/>
                <w:sz w:val="20"/>
                <w:szCs w:val="20"/>
                <w:lang w:eastAsia="pt-BR"/>
              </w:rPr>
              <w:t>(</w:t>
            </w:r>
            <w:proofErr w:type="gramStart"/>
            <w:r w:rsidRPr="00030364">
              <w:rPr>
                <w:rFonts w:ascii="Arial" w:eastAsia="Times New Roman" w:hAnsi="Arial" w:cs="Arial"/>
                <w:sz w:val="20"/>
                <w:szCs w:val="20"/>
                <w:lang w:eastAsia="pt-BR"/>
              </w:rPr>
              <w:t>naturalidade</w:t>
            </w:r>
            <w:proofErr w:type="gramEnd"/>
            <w:r w:rsidRPr="00030364">
              <w:rPr>
                <w:rFonts w:ascii="Arial" w:eastAsia="Times New Roman" w:hAnsi="Arial" w:cs="Arial"/>
                <w:sz w:val="20"/>
                <w:szCs w:val="20"/>
                <w:lang w:eastAsia="pt-BR"/>
              </w:rPr>
              <w:t xml:space="preserve"> e domicílio)</w:t>
            </w:r>
          </w:p>
        </w:tc>
        <w:tc>
          <w:tcPr>
            <w:tcW w:w="5598" w:type="dxa"/>
            <w:tcBorders>
              <w:top w:val="nil"/>
              <w:left w:val="nil"/>
              <w:bottom w:val="single" w:sz="8" w:space="0" w:color="auto"/>
              <w:right w:val="single" w:sz="8" w:space="0" w:color="auto"/>
            </w:tcBorders>
            <w:vAlign w:val="center"/>
          </w:tcPr>
          <w:p w:rsidR="00030364" w:rsidRPr="00030364" w:rsidRDefault="00030364" w:rsidP="00030364">
            <w:pPr>
              <w:snapToGrid w:val="0"/>
              <w:spacing w:after="0" w:line="240" w:lineRule="auto"/>
              <w:jc w:val="center"/>
              <w:rPr>
                <w:rFonts w:ascii="Arial" w:eastAsia="Times New Roman" w:hAnsi="Arial" w:cs="Arial"/>
                <w:b/>
                <w:bCs/>
                <w:sz w:val="20"/>
                <w:szCs w:val="20"/>
                <w:lang w:eastAsia="pt-BR"/>
              </w:rPr>
            </w:pPr>
          </w:p>
        </w:tc>
      </w:tr>
      <w:tr w:rsidR="00030364" w:rsidRPr="00030364" w:rsidTr="00E84AE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030364" w:rsidRPr="00030364" w:rsidRDefault="00030364" w:rsidP="00030364">
            <w:pPr>
              <w:snapToGrid w:val="0"/>
              <w:spacing w:after="0" w:line="240" w:lineRule="auto"/>
              <w:jc w:val="both"/>
              <w:rPr>
                <w:rFonts w:ascii="Arial" w:eastAsia="Times New Roman" w:hAnsi="Arial" w:cs="Arial"/>
                <w:sz w:val="20"/>
                <w:szCs w:val="20"/>
                <w:lang w:eastAsia="pt-BR"/>
              </w:rPr>
            </w:pPr>
            <w:r w:rsidRPr="00030364">
              <w:rPr>
                <w:rFonts w:ascii="Arial" w:eastAsia="Times New Roman" w:hAnsi="Arial" w:cs="Arial"/>
                <w:sz w:val="20"/>
                <w:szCs w:val="20"/>
                <w:lang w:eastAsia="pt-BR"/>
              </w:rPr>
              <w:t xml:space="preserve">OBS.: O signatário deve possuir poderes de administração estabelecidos em contrato social e/ou possuir procuração com poderes para </w:t>
            </w:r>
            <w:r w:rsidRPr="00030364">
              <w:rPr>
                <w:rFonts w:ascii="Arial" w:eastAsia="Times New Roman" w:hAnsi="Arial" w:cs="Arial"/>
                <w:b/>
                <w:bCs/>
                <w:sz w:val="20"/>
                <w:szCs w:val="20"/>
                <w:u w:val="single"/>
                <w:lang w:eastAsia="pt-BR"/>
              </w:rPr>
              <w:t>assinar atas de registro de preços e contratos</w:t>
            </w:r>
            <w:r w:rsidRPr="00030364">
              <w:rPr>
                <w:rFonts w:ascii="Arial" w:eastAsia="Times New Roman" w:hAnsi="Arial" w:cs="Arial"/>
                <w:sz w:val="20"/>
                <w:szCs w:val="20"/>
                <w:lang w:eastAsia="pt-BR"/>
              </w:rPr>
              <w:t xml:space="preserve"> em nome da empresa. </w:t>
            </w:r>
          </w:p>
          <w:p w:rsidR="00030364" w:rsidRPr="00030364" w:rsidRDefault="00030364" w:rsidP="00030364">
            <w:pPr>
              <w:snapToGrid w:val="0"/>
              <w:spacing w:after="0" w:line="240" w:lineRule="auto"/>
              <w:jc w:val="both"/>
              <w:rPr>
                <w:rFonts w:ascii="Arial" w:eastAsia="Times New Roman" w:hAnsi="Arial" w:cs="Arial"/>
                <w:sz w:val="20"/>
                <w:szCs w:val="20"/>
                <w:lang w:eastAsia="pt-BR"/>
              </w:rPr>
            </w:pPr>
            <w:r w:rsidRPr="00030364">
              <w:rPr>
                <w:rFonts w:ascii="Arial" w:eastAsia="Times New Roman" w:hAnsi="Arial" w:cs="Arial"/>
                <w:sz w:val="20"/>
                <w:szCs w:val="20"/>
                <w:lang w:eastAsia="pt-BR"/>
              </w:rPr>
              <w:t>A documentação comprobatória deverá ser encaminhada quando da assinatura da ata de registro de preços.</w:t>
            </w:r>
          </w:p>
        </w:tc>
      </w:tr>
    </w:tbl>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roofErr w:type="gramStart"/>
      <w:r w:rsidRPr="00030364">
        <w:rPr>
          <w:rFonts w:ascii="Arial" w:eastAsia="Times New Roman" w:hAnsi="Arial" w:cs="Times New Roman"/>
          <w:sz w:val="24"/>
          <w:szCs w:val="20"/>
          <w:lang w:eastAsia="pt-BR"/>
        </w:rPr>
        <w:t xml:space="preserve">Brasília,   </w:t>
      </w:r>
      <w:proofErr w:type="gramEnd"/>
      <w:r w:rsidRPr="00030364">
        <w:rPr>
          <w:rFonts w:ascii="Arial" w:eastAsia="Times New Roman" w:hAnsi="Arial" w:cs="Times New Roman"/>
          <w:sz w:val="24"/>
          <w:szCs w:val="20"/>
          <w:lang w:eastAsia="pt-BR"/>
        </w:rPr>
        <w:t xml:space="preserve">  de                     </w:t>
      </w:r>
      <w:proofErr w:type="spellStart"/>
      <w:r w:rsidRPr="00030364">
        <w:rPr>
          <w:rFonts w:ascii="Arial" w:eastAsia="Times New Roman" w:hAnsi="Arial" w:cs="Times New Roman"/>
          <w:sz w:val="24"/>
          <w:szCs w:val="20"/>
          <w:lang w:eastAsia="pt-BR"/>
        </w:rPr>
        <w:t>de</w:t>
      </w:r>
      <w:proofErr w:type="spellEnd"/>
      <w:r w:rsidRPr="00030364">
        <w:rPr>
          <w:rFonts w:ascii="Arial" w:eastAsia="Times New Roman" w:hAnsi="Arial" w:cs="Times New Roman"/>
          <w:sz w:val="24"/>
          <w:szCs w:val="20"/>
          <w:lang w:eastAsia="pt-BR"/>
        </w:rPr>
        <w:t xml:space="preserve"> 2022.</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________________________________</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Assinatura do representante legal da empresa</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________________________________</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030364">
        <w:rPr>
          <w:rFonts w:ascii="Arial" w:eastAsia="Times New Roman" w:hAnsi="Arial" w:cs="Times New Roman"/>
          <w:sz w:val="24"/>
          <w:szCs w:val="20"/>
          <w:lang w:eastAsia="pt-BR"/>
        </w:rPr>
        <w:t>Nome do representante legal da empresa</w:t>
      </w:r>
    </w:p>
    <w:p w:rsidR="00030364" w:rsidRPr="00030364" w:rsidRDefault="00030364" w:rsidP="000303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E17386" w:rsidRDefault="00E17386"/>
    <w:sectPr w:rsidR="00E173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64"/>
    <w:rsid w:val="00030364"/>
    <w:rsid w:val="00E17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EFD9F-4B2D-4B1A-BFFF-53FFC83C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eeneletron.org.br/" TargetMode="External"/><Relationship Id="rId5" Type="http://schemas.openxmlformats.org/officeDocument/2006/relationships/hyperlink" Target="https://docs.microsoft.com/pt-BR/windows/security/information-protection/tpm/trusted-platform-module-overview" TargetMode="External"/><Relationship Id="rId4" Type="http://schemas.openxmlformats.org/officeDocument/2006/relationships/hyperlink" Target="https://partner.microsoft.com/en-us/dashboard/hardware/search/cp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3157</Words>
  <Characters>17051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Cavalcante Netto</dc:creator>
  <cp:keywords/>
  <dc:description/>
  <cp:lastModifiedBy>João Cavalcante Netto</cp:lastModifiedBy>
  <cp:revision>1</cp:revision>
  <dcterms:created xsi:type="dcterms:W3CDTF">2022-11-01T16:50:00Z</dcterms:created>
  <dcterms:modified xsi:type="dcterms:W3CDTF">2022-11-01T16:50:00Z</dcterms:modified>
</cp:coreProperties>
</file>